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E" w:rsidRDefault="00DF46CE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DF46CE"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Curriculum Area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Intent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Implementation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Impact on attainment/progress</w:t>
            </w:r>
          </w:p>
        </w:tc>
      </w:tr>
      <w:tr w:rsidR="00DF46CE">
        <w:tc>
          <w:tcPr>
            <w:tcW w:w="3487" w:type="dxa"/>
          </w:tcPr>
          <w:p w:rsidR="00DF46CE" w:rsidRDefault="008347F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KS3 Curriculum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KS3 curriculum prepares students for developing knowledge, and understanding of musical elements, concepts and skills.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KS3 curriculum is implemented using practical keyboard lessons and through developing IT Music technology skills.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Students receive 2/3 lessons per fortnight.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are able to perform inline and above their age related expectations in years 7-9.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They are able to access all aspects of the curriculum including performance, listening and composition.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sz w:val="20"/>
                <w:szCs w:val="20"/>
              </w:rPr>
            </w:pP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curriculum builds on KS2 skills of listening and recognition of instruments and the elements of music.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are regularly assessed to demonstrate progress over time, developing and embedding the skills learnt in Year 7 to Year 9, though a spiral curriculum linked to the GCSE OCR specification. 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progress points throughout KS3. End of Year 9 data.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Students show a wide understanding of different musical genres, performance styles and cultures.</w:t>
            </w:r>
            <w:r>
              <w:t xml:space="preserve">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KS3 curriculum provides students with a strong practical application to access higher grades at KS4. 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Students study from a wide range of genres, in</w:t>
            </w:r>
            <w:r>
              <w:rPr>
                <w:rFonts w:ascii="Calibri" w:eastAsia="Calibri" w:hAnsi="Calibri" w:cs="Calibri"/>
              </w:rPr>
              <w:t xml:space="preserve">cluding Music around the world, Music for film, </w:t>
            </w:r>
            <w:r>
              <w:rPr>
                <w:rFonts w:ascii="Calibri" w:eastAsia="Calibri" w:hAnsi="Calibri" w:cs="Calibri"/>
              </w:rPr>
              <w:lastRenderedPageBreak/>
              <w:t xml:space="preserve">Conventions of Pop and Western classical traditions.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Increased uptake from KS3 and KS4.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curriculum sequences allow for progression of skills and progress across performance, composition, </w:t>
            </w:r>
            <w:proofErr w:type="gramStart"/>
            <w:r>
              <w:rPr>
                <w:rFonts w:ascii="Calibri" w:eastAsia="Calibri" w:hAnsi="Calibri" w:cs="Calibri"/>
              </w:rPr>
              <w:t>listening</w:t>
            </w:r>
            <w:proofErr w:type="gramEnd"/>
            <w:r>
              <w:rPr>
                <w:rFonts w:ascii="Calibri" w:eastAsia="Calibri" w:hAnsi="Calibri" w:cs="Calibri"/>
              </w:rPr>
              <w:t xml:space="preserve"> an</w:t>
            </w:r>
            <w:r>
              <w:rPr>
                <w:rFonts w:ascii="Calibri" w:eastAsia="Calibri" w:hAnsi="Calibri" w:cs="Calibri"/>
              </w:rPr>
              <w:t xml:space="preserve">d music technology.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receive a balance of practical performance lessons, music technology lessons and critical listening lessons. 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are accomplished in using </w:t>
            </w:r>
            <w:proofErr w:type="spellStart"/>
            <w:r>
              <w:rPr>
                <w:rFonts w:ascii="Calibri" w:eastAsia="Calibri" w:hAnsi="Calibri" w:cs="Calibri"/>
              </w:rPr>
              <w:t>garageband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Some Students can perform accurately, fluently and musically across all year groups in KS3.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music curriculum provides challenge to students by developing instrumental technique, critical listening skills, group performance and music technology.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receive instrumental lessons through our peripatetic music teachers and through the school offering Yamaha Music lessons.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are challenged by the techniques and pieces on offer in the course. Each year book in KS3 contains differentiated </w:t>
            </w:r>
            <w:r>
              <w:rPr>
                <w:rFonts w:ascii="Calibri" w:eastAsia="Calibri" w:hAnsi="Calibri" w:cs="Calibri"/>
              </w:rPr>
              <w:t xml:space="preserve">tasks to challenge the more able and support the less able. </w:t>
            </w:r>
          </w:p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have confidence to perform, use music technology and listen critically to a wide range of musical styles.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Increased uptake to KS4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End of unit/term assessments.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</w:tr>
      <w:tr w:rsidR="00DF46CE">
        <w:tc>
          <w:tcPr>
            <w:tcW w:w="3487" w:type="dxa"/>
          </w:tcPr>
          <w:p w:rsidR="00DF46CE" w:rsidRDefault="008347F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KS4 Curric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ulum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KS4 curriculum enables students to embed and developed specific skills learnt in KS3 to a higher level. 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study GCSE music through receiving 6 lessons per fortnight. 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Lesson cycles are divided into performance, composition and theory/exam prep.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 Grades 9 – 4 in 2018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curriculum builds on KS3 skills of performance, composition, listening and music technology skills. 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students in Year 11 complete RSL Mu</w:t>
            </w:r>
            <w:r>
              <w:rPr>
                <w:rFonts w:ascii="Calibri" w:eastAsia="Calibri" w:hAnsi="Calibri" w:cs="Calibri"/>
              </w:rPr>
              <w:t xml:space="preserve">sic Technology. This provides communication, practical application and high level IT Music Technology skills, developed from the KS3 curriculum.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are given opportunities to perform in the school and within the wider community regularly throughout</w:t>
            </w:r>
            <w:r>
              <w:rPr>
                <w:rFonts w:ascii="Calibri" w:eastAsia="Calibri" w:hAnsi="Calibri" w:cs="Calibri"/>
              </w:rPr>
              <w:t xml:space="preserve"> the academic year. This includes Music showcases, annual Carol Service, lunchtime recital sessions.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Participation at concerts and showcases throughout the year. Some Students entered for national musical examinations through ABRSM. 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KS4 curriculum provides students with a strong practical application to access higher grades at KS5. 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</w:rPr>
              <w:t xml:space="preserve">Students can receive specialist instrumental lessons from qualified Music staff. 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PP students have been given free lessons to access lessons. </w:t>
            </w:r>
          </w:p>
        </w:tc>
      </w:tr>
      <w:tr w:rsidR="00DF46CE">
        <w:trPr>
          <w:trHeight w:val="2420"/>
        </w:trPr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</w:t>
            </w:r>
            <w:r>
              <w:rPr>
                <w:rFonts w:ascii="Calibri" w:eastAsia="Calibri" w:hAnsi="Calibri" w:cs="Calibri"/>
              </w:rPr>
              <w:t xml:space="preserve">riculum sequences allow for students to make significant progress over time.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helps to prepare for post-16 music courses.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Curriculum map allows students to make progress across the three key strands of performing, composition and listening at KS4.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Classes are split between two teachers to provide more personalised learning.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develop musicianship through attendance of extra-curricular activities and instrumental lessons.  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Increased uptake into 2019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Differentiation provides students with a personalised learning experience at KS4.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OCR coursework provides students to tailor performance and composition aspects to their strengths. Use of ‘my music’ and ‘free composition’ tasks allows students to work wi</w:t>
            </w:r>
            <w:r>
              <w:rPr>
                <w:rFonts w:ascii="Calibri" w:eastAsia="Calibri" w:hAnsi="Calibri" w:cs="Calibri"/>
              </w:rPr>
              <w:t>thin their particular area of strength. Not a ‘one size fits all’ approach.</w:t>
            </w: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60% of students wanted to study music related subjects at ks5 </w:t>
            </w:r>
          </w:p>
        </w:tc>
      </w:tr>
      <w:tr w:rsidR="00DF46CE">
        <w:tc>
          <w:tcPr>
            <w:tcW w:w="3487" w:type="dxa"/>
          </w:tcPr>
          <w:p w:rsidR="00DF46CE" w:rsidRDefault="00DF46C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Challenge within the curriculum is achieved through the application of coursework and exam units. Students are prep</w:t>
            </w:r>
            <w:r>
              <w:rPr>
                <w:rFonts w:ascii="Calibri" w:eastAsia="Calibri" w:hAnsi="Calibri" w:cs="Calibri"/>
              </w:rPr>
              <w:t xml:space="preserve">ared for high level performance coursework which in turn prepares them for KS5. </w:t>
            </w:r>
          </w:p>
          <w:p w:rsidR="00DF46CE" w:rsidRDefault="00DF46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7" w:type="dxa"/>
          </w:tcPr>
          <w:p w:rsidR="00DF46CE" w:rsidRDefault="008347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undertake regular assessments in both theoretical and practical elements of the course. These include instrumental exams, mock listening exams and coursework. </w:t>
            </w:r>
          </w:p>
        </w:tc>
        <w:tc>
          <w:tcPr>
            <w:tcW w:w="3487" w:type="dxa"/>
          </w:tcPr>
          <w:p w:rsidR="00DF46CE" w:rsidRDefault="008347F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Mock </w:t>
            </w:r>
            <w:r>
              <w:rPr>
                <w:rFonts w:ascii="Calibri" w:eastAsia="Calibri" w:hAnsi="Calibri" w:cs="Calibri"/>
              </w:rPr>
              <w:t>exams have shown improvements in results.</w:t>
            </w:r>
          </w:p>
        </w:tc>
      </w:tr>
    </w:tbl>
    <w:p w:rsidR="00DF46CE" w:rsidRDefault="00DF46CE">
      <w:pPr>
        <w:rPr>
          <w:sz w:val="20"/>
          <w:szCs w:val="20"/>
        </w:rPr>
      </w:pPr>
    </w:p>
    <w:sectPr w:rsidR="00DF46CE">
      <w:headerReference w:type="default" r:id="rId7"/>
      <w:pgSz w:w="16838" w:h="11906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47F6">
      <w:r>
        <w:separator/>
      </w:r>
    </w:p>
  </w:endnote>
  <w:endnote w:type="continuationSeparator" w:id="0">
    <w:p w:rsidR="00000000" w:rsidRDefault="008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47F6">
      <w:r>
        <w:separator/>
      </w:r>
    </w:p>
  </w:footnote>
  <w:footnote w:type="continuationSeparator" w:id="0">
    <w:p w:rsidR="00000000" w:rsidRDefault="0083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CE" w:rsidRDefault="00834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52"/>
        <w:szCs w:val="52"/>
      </w:rPr>
    </w:pPr>
    <w:r>
      <w:rPr>
        <w:rFonts w:ascii="Calibri" w:eastAsia="Calibri" w:hAnsi="Calibri" w:cs="Calibri"/>
        <w:color w:val="000000"/>
        <w:sz w:val="52"/>
        <w:szCs w:val="52"/>
      </w:rPr>
      <w:t>Music Department KS3 and KS4</w:t>
    </w:r>
  </w:p>
  <w:p w:rsidR="00DF46CE" w:rsidRDefault="008347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52"/>
        <w:szCs w:val="52"/>
      </w:rPr>
    </w:pPr>
    <w:r>
      <w:rPr>
        <w:rFonts w:ascii="Calibri" w:eastAsia="Calibri" w:hAnsi="Calibri" w:cs="Calibri"/>
        <w:color w:val="000000"/>
        <w:sz w:val="52"/>
        <w:szCs w:val="52"/>
      </w:rPr>
      <w:t>Curriculum Intent, Implementation and Impact</w:t>
    </w:r>
  </w:p>
  <w:p w:rsidR="00DF46CE" w:rsidRDefault="00DF46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CE"/>
    <w:rsid w:val="008347F6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B5E52-DDC7-4200-A66D-A14864A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16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CB"/>
    <w:rPr>
      <w:sz w:val="24"/>
      <w:szCs w:val="24"/>
    </w:rPr>
  </w:style>
  <w:style w:type="table" w:styleId="TableGrid">
    <w:name w:val="Table Grid"/>
    <w:basedOn w:val="TableNormal"/>
    <w:uiPriority w:val="39"/>
    <w:rsid w:val="0051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3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eZ2ZZ1SKobLTGUgT2swjbmWNQ==">AMUW2mWznSZYFUcL+JmuL7K/Rh/jy3LXajTV3E3IBJae6kLHhFimYlPSpAXzwHtaTWqSA/MNMXj1u923LZZmUvFWFF7jW9itCuCblY5HKD9UotYdXDyMTaUM+fHUdsBqFbupIqnqXR+7tAc4q3kAbVnt6aZNqPR7wA==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9A084550</Template>
  <TotalTime>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LParfitt</cp:lastModifiedBy>
  <cp:revision>2</cp:revision>
  <dcterms:created xsi:type="dcterms:W3CDTF">2019-12-06T11:17:00Z</dcterms:created>
  <dcterms:modified xsi:type="dcterms:W3CDTF">2019-12-06T11:17:00Z</dcterms:modified>
</cp:coreProperties>
</file>