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Safeguarding Procedures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-800099</wp:posOffset>
                </wp:positionV>
                <wp:extent cx="1114425" cy="981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294225"/>
                          <a:ext cx="11049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-800099</wp:posOffset>
                </wp:positionV>
                <wp:extent cx="1114425" cy="9810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-666749</wp:posOffset>
            </wp:positionV>
            <wp:extent cx="1886400" cy="3420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34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5902"/>
        <w:tblGridChange w:id="0">
          <w:tblGrid>
            <w:gridCol w:w="3114"/>
            <w:gridCol w:w="5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Headteacher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Paul Balkwill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DSL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Nikki Watson (NWa)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Deputy DSLs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Lindsay Mundy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Lottie Ardeshir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Jo Denhart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 Administrator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Sheri Gerrard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Safeguarding Governor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Adele Pole-Evans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SWCPP -</w:t>
            </w:r>
            <w:hyperlink r:id="rId8">
              <w:r w:rsidDel="00000000" w:rsidR="00000000" w:rsidRPr="00000000">
                <w:rPr>
                  <w:b w:val="1"/>
                  <w:bCs w:val="1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https://www.proceduresonline.com/swcpp/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Somerset Safeguarding Children Partnership -</w:t>
            </w:r>
            <w:hyperlink r:id="rId10">
              <w:r w:rsidDel="00000000" w:rsidR="00000000" w:rsidRPr="00000000">
                <w:rPr>
                  <w:b w:val="1"/>
                  <w:bCs w:val="1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Somerset Safeguarding Children Partnership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 Procedures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Staff have received updated training on the new KCSIE 2025 document which includes the updates on </w:t>
            </w:r>
            <w:r w:rsidDel="00000000" w:rsidR="00000000" w:rsidRPr="00000000">
              <w:rPr>
                <w:rtl w:val="0"/>
              </w:rPr>
              <w:t xml:space="preserve">Filtering and monitoring systems and clarity around the meaning of the terms ‘children absent from education’ and ‘children missing education.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Staff receive weekly safeguarding training updates, which may include  interactive activities,and ensure staff are fully aware of local and national safeguarding issues.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Pastoral staff are able to use the Pastoral Area as a support network to offer pupils first response support for mental well-being.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School nurse, ELSA, </w:t>
            </w:r>
            <w:r w:rsidDel="00000000" w:rsidR="00000000" w:rsidRPr="00000000">
              <w:rPr>
                <w:highlight w:val="white"/>
                <w:rtl w:val="0"/>
              </w:rPr>
              <w:t xml:space="preserve">Mental Health Support, Young Carers, </w:t>
            </w:r>
            <w:r w:rsidDel="00000000" w:rsidR="00000000" w:rsidRPr="00000000">
              <w:rPr>
                <w:rtl w:val="0"/>
              </w:rPr>
              <w:t xml:space="preserve">counselling and outside agency support is available for all pupils.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Pastoral Manager monitors attendance daily and records attendance concerns to the Deputy Head Teacher (KHa) with oversight for attendance and the DSL (NWa).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Pastoral Manager, Deputy Head Teacher and Education Welfare officer meet fortnightly to implement attendance interventions and liaise with the DSL.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Localised contextual risks identified by DSL and communicated to all relevant staff and the appropriate training provided to mitigate safeguarding risk.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 Dunstan’s School use the electronic system ‘MyConcern’ to log incidents.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staff have had CP training on how to use the system annually.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staff members are able to log into the system to log a concern. The DSL and all DDSL’s receive notifications and will follow up the concern. Tasks are set for DDSL’s to complete when necessary.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Staff who log concerns of high priority are trained to also speak to the DSL or a deputy DSL in person as well as electronically logging the concerns. This ensures that the safeguarding team are fully aware of a high priority concern in ‘real me’ and are able to action immediately.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documents are scanned and logged on pupils' MyConcern file to ensure the profile is up to date and stored in chronological order.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Paper files from previous years are scanned and uploaded to their MyConcern profiles.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Core group &amp; CP conferences are attended by NWa, as well as the Mendip Partnership and Wellbeing Board if the Head Teacher is unable to attend.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Annual safeguarding audits are completed by the DSL and are done so in line with Ofsted requirements.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NWa and the Safeguarding governor meet formally three times per year, and informally, to regularly discuss Child Protection and Safeguarding concerns.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NWa meets with Sheri Gerrard three times per year to check the Single Central Record.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Sheri Gerrard meets with the Safeguarding governor three times per year to check the Single Central Record.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NWa liaises with Sharon Crane with any policy updates.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NWa attends MAT and Somerset county DSL meetings.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NWa attends local DSL meetings where DSL’s from other local secondary schools meet to discuss contextual safeguarding concerns and ensure joined up practice is occurring.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safeguarding staff meet regularly to share good practice and have supervision support where appropriate.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Local Safeguarding procedures will be reviewed and updated annually or earlier as and when required.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right="-1032.9921259842508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updated November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omersetsafeguardingchildren.org.uk/" TargetMode="External"/><Relationship Id="rId10" Type="http://schemas.openxmlformats.org/officeDocument/2006/relationships/hyperlink" Target="https://sscb.safeguardingsomerset.org.uk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proceduresonline.com/swcpp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proceduresonline.com/swcp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