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3B" w:rsidRDefault="00C97140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5C71B08E" wp14:editId="108F1806">
            <wp:simplePos x="0" y="0"/>
            <wp:positionH relativeFrom="page">
              <wp:posOffset>5898649</wp:posOffset>
            </wp:positionH>
            <wp:positionV relativeFrom="paragraph">
              <wp:posOffset>140583</wp:posOffset>
            </wp:positionV>
            <wp:extent cx="1165811" cy="1195705"/>
            <wp:effectExtent l="0" t="0" r="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11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03B" w:rsidRDefault="00CD303B">
      <w:pPr>
        <w:pStyle w:val="BodyText"/>
        <w:rPr>
          <w:rFonts w:ascii="Times New Roman"/>
          <w:sz w:val="20"/>
        </w:rPr>
      </w:pPr>
    </w:p>
    <w:p w:rsidR="00CD303B" w:rsidRDefault="00B82423">
      <w:pPr>
        <w:pStyle w:val="BodyText"/>
        <w:spacing w:before="4"/>
        <w:rPr>
          <w:rFonts w:ascii="Times New Roman"/>
          <w:sz w:val="2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A304765" wp14:editId="192FA9B6">
            <wp:simplePos x="0" y="0"/>
            <wp:positionH relativeFrom="column">
              <wp:posOffset>5300345</wp:posOffset>
            </wp:positionH>
            <wp:positionV relativeFrom="paragraph">
              <wp:posOffset>54610</wp:posOffset>
            </wp:positionV>
            <wp:extent cx="741045" cy="76263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SP-Partnership-logo on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140" w:rsidRDefault="00C97140">
      <w:pPr>
        <w:pStyle w:val="Heading1"/>
        <w:spacing w:before="44"/>
        <w:ind w:right="3296"/>
      </w:pPr>
      <w:r>
        <w:t>TRINITY CHURCH</w:t>
      </w:r>
      <w:r w:rsidR="00445CCC">
        <w:t xml:space="preserve"> </w:t>
      </w:r>
      <w:r w:rsidR="003E1AC7">
        <w:t xml:space="preserve">SCHOOL </w:t>
      </w:r>
    </w:p>
    <w:p w:rsidR="00CD303B" w:rsidRDefault="00C97140">
      <w:pPr>
        <w:pStyle w:val="Heading1"/>
        <w:spacing w:before="44"/>
        <w:ind w:right="3296"/>
      </w:pPr>
      <w:r>
        <w:t>E</w:t>
      </w:r>
      <w:r w:rsidR="003E1AC7">
        <w:t>XAMINATION AND ASSESSMENT RESULTS</w:t>
      </w:r>
    </w:p>
    <w:p w:rsidR="00CD303B" w:rsidRDefault="00A8631C">
      <w:pPr>
        <w:spacing w:before="1"/>
        <w:ind w:left="220"/>
        <w:rPr>
          <w:b/>
          <w:sz w:val="28"/>
        </w:rPr>
      </w:pPr>
      <w:r>
        <w:rPr>
          <w:b/>
          <w:sz w:val="28"/>
        </w:rPr>
        <w:t>2016-2017</w:t>
      </w:r>
      <w:r w:rsidR="007F5969">
        <w:rPr>
          <w:b/>
          <w:sz w:val="28"/>
        </w:rPr>
        <w:t xml:space="preserve"> Attainment</w:t>
      </w:r>
    </w:p>
    <w:p w:rsidR="00CD303B" w:rsidRDefault="00CD303B">
      <w:pPr>
        <w:pStyle w:val="BodyText"/>
        <w:spacing w:before="10"/>
        <w:rPr>
          <w:b/>
          <w:sz w:val="27"/>
        </w:rPr>
      </w:pPr>
    </w:p>
    <w:p w:rsidR="00CD303B" w:rsidRDefault="003E1AC7">
      <w:pPr>
        <w:ind w:left="220"/>
        <w:rPr>
          <w:b/>
          <w:sz w:val="28"/>
        </w:rPr>
      </w:pPr>
      <w:r>
        <w:rPr>
          <w:b/>
          <w:color w:val="006FC0"/>
          <w:sz w:val="28"/>
        </w:rPr>
        <w:t>Early Years Results</w:t>
      </w:r>
    </w:p>
    <w:p w:rsidR="00CD303B" w:rsidRDefault="003E1AC7">
      <w:pPr>
        <w:pStyle w:val="BodyText"/>
        <w:spacing w:before="152"/>
        <w:ind w:left="220"/>
      </w:pPr>
      <w:r>
        <w:rPr>
          <w:color w:val="333333"/>
        </w:rPr>
        <w:t>Percentage of children who have achieved a good level of development</w:t>
      </w:r>
    </w:p>
    <w:p w:rsidR="00CD303B" w:rsidRDefault="00CD303B">
      <w:pPr>
        <w:pStyle w:val="BodyText"/>
        <w:spacing w:before="4" w:after="1"/>
        <w:rPr>
          <w:sz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998"/>
        <w:gridCol w:w="1998"/>
        <w:gridCol w:w="1998"/>
        <w:gridCol w:w="1998"/>
      </w:tblGrid>
      <w:tr w:rsidR="00A8631C" w:rsidTr="00B924B0">
        <w:trPr>
          <w:trHeight w:val="260"/>
        </w:trPr>
        <w:tc>
          <w:tcPr>
            <w:tcW w:w="1000" w:type="pct"/>
          </w:tcPr>
          <w:p w:rsidR="00A8631C" w:rsidRDefault="00A8631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00" w:type="pct"/>
          </w:tcPr>
          <w:p w:rsidR="00A8631C" w:rsidRDefault="00A8631C">
            <w:pPr>
              <w:pStyle w:val="TableParagraph"/>
              <w:ind w:left="926"/>
              <w:jc w:val="left"/>
              <w:rPr>
                <w:b/>
              </w:rPr>
            </w:pPr>
            <w:r>
              <w:rPr>
                <w:b/>
                <w:color w:val="333333"/>
              </w:rPr>
              <w:t>2014</w:t>
            </w:r>
          </w:p>
        </w:tc>
        <w:tc>
          <w:tcPr>
            <w:tcW w:w="1000" w:type="pct"/>
          </w:tcPr>
          <w:p w:rsidR="00A8631C" w:rsidRDefault="00A8631C" w:rsidP="00A8631C">
            <w:pPr>
              <w:pStyle w:val="TableParagraph"/>
              <w:ind w:left="788" w:right="499"/>
              <w:rPr>
                <w:b/>
              </w:rPr>
            </w:pPr>
            <w:r>
              <w:rPr>
                <w:b/>
                <w:color w:val="333333"/>
              </w:rPr>
              <w:t>2015</w:t>
            </w:r>
          </w:p>
        </w:tc>
        <w:tc>
          <w:tcPr>
            <w:tcW w:w="1000" w:type="pct"/>
          </w:tcPr>
          <w:p w:rsidR="00A8631C" w:rsidRDefault="00A8631C" w:rsidP="00057F66">
            <w:pPr>
              <w:pStyle w:val="TableParagraph"/>
              <w:ind w:left="839" w:right="499"/>
              <w:rPr>
                <w:b/>
              </w:rPr>
            </w:pPr>
            <w:r>
              <w:rPr>
                <w:b/>
                <w:color w:val="333333"/>
              </w:rPr>
              <w:t>2016</w:t>
            </w:r>
          </w:p>
        </w:tc>
        <w:tc>
          <w:tcPr>
            <w:tcW w:w="1000" w:type="pct"/>
          </w:tcPr>
          <w:p w:rsidR="00A8631C" w:rsidRDefault="00A8631C" w:rsidP="00057F66">
            <w:pPr>
              <w:pStyle w:val="TableParagraph"/>
              <w:ind w:left="408" w:right="528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2017</w:t>
            </w:r>
          </w:p>
        </w:tc>
      </w:tr>
      <w:tr w:rsidR="00A8631C" w:rsidTr="00B924B0">
        <w:trPr>
          <w:trHeight w:val="260"/>
        </w:trPr>
        <w:tc>
          <w:tcPr>
            <w:tcW w:w="1000" w:type="pct"/>
          </w:tcPr>
          <w:p w:rsidR="00A8631C" w:rsidRDefault="00A8631C">
            <w:pPr>
              <w:pStyle w:val="TableParagraph"/>
              <w:ind w:left="103"/>
              <w:jc w:val="left"/>
              <w:rPr>
                <w:b/>
              </w:rPr>
            </w:pPr>
            <w:r>
              <w:rPr>
                <w:b/>
                <w:color w:val="333333"/>
              </w:rPr>
              <w:t>School</w:t>
            </w:r>
          </w:p>
        </w:tc>
        <w:tc>
          <w:tcPr>
            <w:tcW w:w="1000" w:type="pct"/>
          </w:tcPr>
          <w:p w:rsidR="00A8631C" w:rsidRDefault="00A8631C">
            <w:pPr>
              <w:pStyle w:val="TableParagraph"/>
              <w:ind w:left="960"/>
              <w:jc w:val="left"/>
            </w:pPr>
            <w:r>
              <w:rPr>
                <w:color w:val="333333"/>
              </w:rPr>
              <w:t>70%</w:t>
            </w:r>
          </w:p>
        </w:tc>
        <w:tc>
          <w:tcPr>
            <w:tcW w:w="1000" w:type="pct"/>
          </w:tcPr>
          <w:p w:rsidR="00A8631C" w:rsidRDefault="00A8631C" w:rsidP="00A8631C">
            <w:pPr>
              <w:pStyle w:val="TableParagraph"/>
              <w:ind w:left="788" w:right="499"/>
            </w:pPr>
            <w:r>
              <w:rPr>
                <w:color w:val="333333"/>
              </w:rPr>
              <w:t>61%</w:t>
            </w:r>
          </w:p>
        </w:tc>
        <w:tc>
          <w:tcPr>
            <w:tcW w:w="1000" w:type="pct"/>
          </w:tcPr>
          <w:p w:rsidR="00A8631C" w:rsidRDefault="00A8631C" w:rsidP="00057F66">
            <w:pPr>
              <w:pStyle w:val="TableParagraph"/>
              <w:ind w:left="839" w:right="499"/>
            </w:pPr>
            <w:r>
              <w:rPr>
                <w:color w:val="333333"/>
              </w:rPr>
              <w:t>44%</w:t>
            </w:r>
          </w:p>
        </w:tc>
        <w:tc>
          <w:tcPr>
            <w:tcW w:w="1000" w:type="pct"/>
          </w:tcPr>
          <w:p w:rsidR="00A8631C" w:rsidRDefault="00A8631C" w:rsidP="00057F66">
            <w:pPr>
              <w:pStyle w:val="TableParagraph"/>
              <w:ind w:left="839" w:right="670" w:hanging="164"/>
              <w:rPr>
                <w:color w:val="333333"/>
              </w:rPr>
            </w:pPr>
            <w:r>
              <w:rPr>
                <w:color w:val="333333"/>
              </w:rPr>
              <w:t>75%</w:t>
            </w:r>
          </w:p>
        </w:tc>
      </w:tr>
      <w:tr w:rsidR="00A8631C" w:rsidTr="00B924B0">
        <w:trPr>
          <w:trHeight w:val="260"/>
        </w:trPr>
        <w:tc>
          <w:tcPr>
            <w:tcW w:w="1000" w:type="pct"/>
          </w:tcPr>
          <w:p w:rsidR="00A8631C" w:rsidRDefault="00A8631C">
            <w:pPr>
              <w:pStyle w:val="TableParagraph"/>
              <w:ind w:left="103"/>
              <w:jc w:val="left"/>
              <w:rPr>
                <w:b/>
              </w:rPr>
            </w:pPr>
            <w:r>
              <w:rPr>
                <w:b/>
                <w:color w:val="333333"/>
              </w:rPr>
              <w:t>National</w:t>
            </w:r>
          </w:p>
        </w:tc>
        <w:tc>
          <w:tcPr>
            <w:tcW w:w="1000" w:type="pct"/>
          </w:tcPr>
          <w:p w:rsidR="00A8631C" w:rsidRDefault="00A8631C">
            <w:pPr>
              <w:pStyle w:val="TableParagraph"/>
              <w:ind w:left="960"/>
              <w:jc w:val="left"/>
            </w:pPr>
            <w:r>
              <w:rPr>
                <w:color w:val="333333"/>
              </w:rPr>
              <w:t>61%</w:t>
            </w:r>
          </w:p>
        </w:tc>
        <w:tc>
          <w:tcPr>
            <w:tcW w:w="1000" w:type="pct"/>
          </w:tcPr>
          <w:p w:rsidR="00A8631C" w:rsidRDefault="00A8631C" w:rsidP="00A8631C">
            <w:pPr>
              <w:pStyle w:val="TableParagraph"/>
              <w:ind w:left="788" w:right="499"/>
            </w:pPr>
            <w:r>
              <w:rPr>
                <w:color w:val="333333"/>
              </w:rPr>
              <w:t>66%</w:t>
            </w:r>
          </w:p>
        </w:tc>
        <w:tc>
          <w:tcPr>
            <w:tcW w:w="1000" w:type="pct"/>
          </w:tcPr>
          <w:p w:rsidR="00A8631C" w:rsidRDefault="00057F66" w:rsidP="00057F66">
            <w:pPr>
              <w:pStyle w:val="TableParagraph"/>
              <w:ind w:left="0" w:right="499" w:firstLine="675"/>
            </w:pPr>
            <w:r>
              <w:rPr>
                <w:color w:val="333333"/>
              </w:rPr>
              <w:t xml:space="preserve">  67%</w:t>
            </w:r>
          </w:p>
        </w:tc>
        <w:tc>
          <w:tcPr>
            <w:tcW w:w="1000" w:type="pct"/>
          </w:tcPr>
          <w:p w:rsidR="00A8631C" w:rsidRDefault="00A8631C" w:rsidP="00057F66">
            <w:pPr>
              <w:pStyle w:val="TableParagraph"/>
              <w:ind w:left="0" w:right="1"/>
              <w:rPr>
                <w:color w:val="333333"/>
              </w:rPr>
            </w:pPr>
            <w:r>
              <w:rPr>
                <w:color w:val="333333"/>
              </w:rPr>
              <w:t>71%</w:t>
            </w:r>
          </w:p>
        </w:tc>
      </w:tr>
      <w:tr w:rsidR="00A8631C" w:rsidTr="00B924B0">
        <w:trPr>
          <w:trHeight w:val="260"/>
        </w:trPr>
        <w:tc>
          <w:tcPr>
            <w:tcW w:w="1000" w:type="pct"/>
            <w:tcBorders>
              <w:bottom w:val="single" w:sz="6" w:space="0" w:color="000000"/>
            </w:tcBorders>
          </w:tcPr>
          <w:p w:rsidR="00A8631C" w:rsidRDefault="00A8631C">
            <w:pPr>
              <w:pStyle w:val="TableParagraph"/>
              <w:spacing w:line="246" w:lineRule="exact"/>
              <w:ind w:left="103"/>
              <w:jc w:val="left"/>
              <w:rPr>
                <w:b/>
              </w:rPr>
            </w:pPr>
            <w:r>
              <w:rPr>
                <w:b/>
                <w:color w:val="333333"/>
              </w:rPr>
              <w:t>Local Authority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</w:tcPr>
          <w:p w:rsidR="00A8631C" w:rsidRDefault="00A8631C">
            <w:pPr>
              <w:pStyle w:val="TableParagraph"/>
              <w:spacing w:line="246" w:lineRule="exact"/>
              <w:ind w:left="960"/>
              <w:jc w:val="left"/>
            </w:pPr>
            <w:r>
              <w:rPr>
                <w:color w:val="333333"/>
              </w:rPr>
              <w:t>63%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</w:tcPr>
          <w:p w:rsidR="00A8631C" w:rsidRDefault="00A8631C" w:rsidP="00A8631C">
            <w:pPr>
              <w:pStyle w:val="TableParagraph"/>
              <w:spacing w:line="246" w:lineRule="exact"/>
              <w:ind w:left="788" w:right="499"/>
            </w:pPr>
            <w:r>
              <w:rPr>
                <w:color w:val="333333"/>
              </w:rPr>
              <w:t>69%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</w:tcPr>
          <w:p w:rsidR="00A8631C" w:rsidRDefault="00057F66" w:rsidP="00057F66">
            <w:pPr>
              <w:pStyle w:val="TableParagraph"/>
              <w:spacing w:line="246" w:lineRule="exact"/>
              <w:ind w:left="0" w:right="499" w:firstLine="675"/>
            </w:pPr>
            <w:r>
              <w:rPr>
                <w:color w:val="333333"/>
              </w:rPr>
              <w:t xml:space="preserve">  69%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</w:tcPr>
          <w:p w:rsidR="00A8631C" w:rsidRDefault="00A8631C" w:rsidP="00057F66">
            <w:pPr>
              <w:pStyle w:val="TableParagraph"/>
              <w:spacing w:line="246" w:lineRule="exact"/>
              <w:ind w:left="0" w:right="1"/>
              <w:rPr>
                <w:color w:val="333333"/>
              </w:rPr>
            </w:pPr>
            <w:r>
              <w:rPr>
                <w:color w:val="333333"/>
              </w:rPr>
              <w:t>72%</w:t>
            </w:r>
          </w:p>
        </w:tc>
      </w:tr>
    </w:tbl>
    <w:p w:rsidR="00CD303B" w:rsidRDefault="00CD303B">
      <w:pPr>
        <w:pStyle w:val="BodyText"/>
        <w:rPr>
          <w:sz w:val="20"/>
        </w:rPr>
      </w:pPr>
    </w:p>
    <w:p w:rsidR="00CD303B" w:rsidRDefault="003E1AC7">
      <w:pPr>
        <w:pStyle w:val="Heading1"/>
        <w:spacing w:before="223"/>
      </w:pPr>
      <w:r>
        <w:rPr>
          <w:color w:val="006FC0"/>
        </w:rPr>
        <w:t>Year 1 Phonics Screening</w:t>
      </w:r>
    </w:p>
    <w:p w:rsidR="00CD303B" w:rsidRDefault="00CD303B">
      <w:pPr>
        <w:pStyle w:val="BodyText"/>
        <w:spacing w:before="4" w:after="1"/>
        <w:rPr>
          <w:b/>
          <w:sz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842"/>
        <w:gridCol w:w="2033"/>
        <w:gridCol w:w="2135"/>
        <w:gridCol w:w="2135"/>
      </w:tblGrid>
      <w:tr w:rsidR="00B924B0" w:rsidTr="00B924B0">
        <w:trPr>
          <w:trHeight w:val="260"/>
        </w:trPr>
        <w:tc>
          <w:tcPr>
            <w:tcW w:w="1000" w:type="pct"/>
          </w:tcPr>
          <w:p w:rsidR="00B924B0" w:rsidRDefault="00B924B0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9" w:type="pct"/>
          </w:tcPr>
          <w:p w:rsidR="00B924B0" w:rsidRDefault="00B924B0">
            <w:pPr>
              <w:pStyle w:val="TableParagraph"/>
              <w:ind w:left="926"/>
              <w:jc w:val="left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000" w:type="pct"/>
          </w:tcPr>
          <w:p w:rsidR="00B924B0" w:rsidRDefault="00B924B0">
            <w:pPr>
              <w:pStyle w:val="TableParagraph"/>
              <w:ind w:left="788" w:right="788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00" w:type="pct"/>
          </w:tcPr>
          <w:p w:rsidR="00B924B0" w:rsidRDefault="00B924B0">
            <w:pPr>
              <w:pStyle w:val="TableParagraph"/>
              <w:ind w:left="839" w:right="839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00" w:type="pct"/>
          </w:tcPr>
          <w:p w:rsidR="00B924B0" w:rsidRDefault="00B924B0">
            <w:pPr>
              <w:pStyle w:val="TableParagraph"/>
              <w:ind w:left="839" w:right="839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B924B0" w:rsidTr="00B924B0">
        <w:trPr>
          <w:trHeight w:val="260"/>
        </w:trPr>
        <w:tc>
          <w:tcPr>
            <w:tcW w:w="1000" w:type="pct"/>
          </w:tcPr>
          <w:p w:rsidR="00B924B0" w:rsidRDefault="00B924B0">
            <w:pPr>
              <w:pStyle w:val="TableParagraph"/>
              <w:ind w:left="103"/>
              <w:jc w:val="left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999" w:type="pct"/>
          </w:tcPr>
          <w:p w:rsidR="00B924B0" w:rsidRDefault="00B924B0">
            <w:pPr>
              <w:pStyle w:val="TableParagraph"/>
              <w:ind w:left="960"/>
              <w:jc w:val="left"/>
            </w:pPr>
            <w:r>
              <w:t>91%</w:t>
            </w:r>
          </w:p>
        </w:tc>
        <w:tc>
          <w:tcPr>
            <w:tcW w:w="1000" w:type="pct"/>
          </w:tcPr>
          <w:p w:rsidR="00B924B0" w:rsidRDefault="00B924B0">
            <w:pPr>
              <w:pStyle w:val="TableParagraph"/>
              <w:ind w:left="788" w:right="788"/>
            </w:pPr>
            <w:r>
              <w:t>93%</w:t>
            </w:r>
          </w:p>
        </w:tc>
        <w:tc>
          <w:tcPr>
            <w:tcW w:w="1000" w:type="pct"/>
          </w:tcPr>
          <w:p w:rsidR="00B924B0" w:rsidRDefault="00B924B0">
            <w:pPr>
              <w:pStyle w:val="TableParagraph"/>
              <w:ind w:left="839" w:right="839"/>
            </w:pPr>
            <w:r>
              <w:t>60%</w:t>
            </w:r>
          </w:p>
        </w:tc>
        <w:tc>
          <w:tcPr>
            <w:tcW w:w="1000" w:type="pct"/>
          </w:tcPr>
          <w:p w:rsidR="00B924B0" w:rsidRDefault="00B924B0">
            <w:pPr>
              <w:pStyle w:val="TableParagraph"/>
              <w:ind w:left="839" w:right="839"/>
            </w:pPr>
            <w:r>
              <w:t>82%</w:t>
            </w:r>
          </w:p>
        </w:tc>
      </w:tr>
      <w:tr w:rsidR="00B924B0" w:rsidTr="00B924B0">
        <w:trPr>
          <w:trHeight w:val="260"/>
        </w:trPr>
        <w:tc>
          <w:tcPr>
            <w:tcW w:w="1000" w:type="pct"/>
          </w:tcPr>
          <w:p w:rsidR="00B924B0" w:rsidRDefault="00B924B0">
            <w:pPr>
              <w:pStyle w:val="TableParagraph"/>
              <w:spacing w:line="251" w:lineRule="exact"/>
              <w:ind w:left="103"/>
              <w:jc w:val="left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999" w:type="pct"/>
          </w:tcPr>
          <w:p w:rsidR="00B924B0" w:rsidRDefault="00B924B0">
            <w:pPr>
              <w:pStyle w:val="TableParagraph"/>
              <w:spacing w:line="251" w:lineRule="exact"/>
              <w:ind w:left="960"/>
              <w:jc w:val="left"/>
            </w:pPr>
            <w:r>
              <w:t>74%</w:t>
            </w:r>
          </w:p>
        </w:tc>
        <w:tc>
          <w:tcPr>
            <w:tcW w:w="1000" w:type="pct"/>
          </w:tcPr>
          <w:p w:rsidR="00B924B0" w:rsidRDefault="00B924B0">
            <w:pPr>
              <w:pStyle w:val="TableParagraph"/>
              <w:spacing w:line="251" w:lineRule="exact"/>
              <w:ind w:left="788" w:right="788"/>
            </w:pPr>
            <w:r>
              <w:t>77%</w:t>
            </w:r>
          </w:p>
        </w:tc>
        <w:tc>
          <w:tcPr>
            <w:tcW w:w="1000" w:type="pct"/>
          </w:tcPr>
          <w:p w:rsidR="00B924B0" w:rsidRDefault="00B924B0">
            <w:pPr>
              <w:pStyle w:val="TableParagraph"/>
              <w:spacing w:line="251" w:lineRule="exact"/>
              <w:ind w:left="839" w:right="839"/>
            </w:pPr>
            <w:r>
              <w:t>81%</w:t>
            </w:r>
          </w:p>
        </w:tc>
        <w:tc>
          <w:tcPr>
            <w:tcW w:w="1000" w:type="pct"/>
          </w:tcPr>
          <w:p w:rsidR="00B924B0" w:rsidRDefault="00F4178B">
            <w:pPr>
              <w:pStyle w:val="TableParagraph"/>
              <w:spacing w:line="251" w:lineRule="exact"/>
              <w:ind w:left="839" w:right="839"/>
            </w:pPr>
            <w:r>
              <w:t>81</w:t>
            </w:r>
            <w:r w:rsidR="00B924B0">
              <w:t>%</w:t>
            </w:r>
          </w:p>
        </w:tc>
      </w:tr>
    </w:tbl>
    <w:p w:rsidR="00CD303B" w:rsidRDefault="00CD303B">
      <w:pPr>
        <w:pStyle w:val="BodyText"/>
        <w:spacing w:before="8"/>
        <w:rPr>
          <w:b/>
          <w:sz w:val="41"/>
        </w:rPr>
      </w:pPr>
    </w:p>
    <w:p w:rsidR="00CD303B" w:rsidRDefault="00B924B0">
      <w:pPr>
        <w:ind w:left="220"/>
        <w:rPr>
          <w:b/>
          <w:sz w:val="28"/>
        </w:rPr>
      </w:pPr>
      <w:r>
        <w:rPr>
          <w:b/>
          <w:color w:val="006FC0"/>
          <w:sz w:val="28"/>
        </w:rPr>
        <w:t>Key Stage 1 SATs Results 2017</w:t>
      </w:r>
    </w:p>
    <w:p w:rsidR="00CD303B" w:rsidRDefault="00CD303B">
      <w:pPr>
        <w:pStyle w:val="BodyText"/>
        <w:spacing w:before="2" w:after="1"/>
        <w:rPr>
          <w:b/>
          <w:sz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1155"/>
        <w:gridCol w:w="1154"/>
        <w:gridCol w:w="1155"/>
        <w:gridCol w:w="1157"/>
        <w:gridCol w:w="1155"/>
        <w:gridCol w:w="1157"/>
      </w:tblGrid>
      <w:tr w:rsidR="00CD303B">
        <w:trPr>
          <w:trHeight w:val="260"/>
        </w:trPr>
        <w:tc>
          <w:tcPr>
            <w:tcW w:w="2311" w:type="dxa"/>
          </w:tcPr>
          <w:p w:rsidR="00CD303B" w:rsidRDefault="00CD30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gridSpan w:val="2"/>
          </w:tcPr>
          <w:p w:rsidR="00CD303B" w:rsidRDefault="003E1AC7">
            <w:pPr>
              <w:pStyle w:val="TableParagraph"/>
              <w:ind w:left="760" w:right="760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12" w:type="dxa"/>
            <w:gridSpan w:val="2"/>
          </w:tcPr>
          <w:p w:rsidR="00CD303B" w:rsidRDefault="003E1AC7">
            <w:pPr>
              <w:pStyle w:val="TableParagraph"/>
              <w:ind w:left="789" w:right="788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12" w:type="dxa"/>
            <w:gridSpan w:val="2"/>
          </w:tcPr>
          <w:p w:rsidR="00CD303B" w:rsidRDefault="003E1AC7">
            <w:pPr>
              <w:pStyle w:val="TableParagraph"/>
              <w:ind w:left="839" w:right="839"/>
              <w:rPr>
                <w:b/>
              </w:rPr>
            </w:pPr>
            <w:r>
              <w:rPr>
                <w:b/>
              </w:rPr>
              <w:t>Maths</w:t>
            </w:r>
          </w:p>
        </w:tc>
      </w:tr>
      <w:tr w:rsidR="00CD303B">
        <w:trPr>
          <w:trHeight w:val="260"/>
        </w:trPr>
        <w:tc>
          <w:tcPr>
            <w:tcW w:w="2311" w:type="dxa"/>
          </w:tcPr>
          <w:p w:rsidR="00CD303B" w:rsidRDefault="00CD30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:rsidR="00CD303B" w:rsidRDefault="003E1AC7">
            <w:pPr>
              <w:pStyle w:val="TableParagraph"/>
              <w:spacing w:line="249" w:lineRule="exact"/>
              <w:ind w:left="248" w:right="248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154" w:type="dxa"/>
          </w:tcPr>
          <w:p w:rsidR="00CD303B" w:rsidRDefault="003E1AC7">
            <w:pPr>
              <w:pStyle w:val="TableParagraph"/>
              <w:spacing w:line="249" w:lineRule="exact"/>
              <w:ind w:left="103"/>
              <w:jc w:val="left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1155" w:type="dxa"/>
          </w:tcPr>
          <w:p w:rsidR="00CD303B" w:rsidRDefault="003E1AC7">
            <w:pPr>
              <w:pStyle w:val="TableParagraph"/>
              <w:spacing w:line="249" w:lineRule="exact"/>
              <w:ind w:left="249" w:right="250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157" w:type="dxa"/>
          </w:tcPr>
          <w:p w:rsidR="00CD303B" w:rsidRDefault="003E1AC7">
            <w:pPr>
              <w:pStyle w:val="TableParagraph"/>
              <w:spacing w:line="249" w:lineRule="exact"/>
              <w:ind w:right="161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1155" w:type="dxa"/>
          </w:tcPr>
          <w:p w:rsidR="00CD303B" w:rsidRDefault="003E1AC7">
            <w:pPr>
              <w:pStyle w:val="TableParagraph"/>
              <w:spacing w:line="249" w:lineRule="exact"/>
              <w:ind w:left="247" w:right="250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157" w:type="dxa"/>
          </w:tcPr>
          <w:p w:rsidR="00CD303B" w:rsidRDefault="003E1AC7">
            <w:pPr>
              <w:pStyle w:val="TableParagraph"/>
              <w:spacing w:line="249" w:lineRule="exact"/>
              <w:ind w:right="161"/>
              <w:rPr>
                <w:b/>
              </w:rPr>
            </w:pPr>
            <w:r>
              <w:rPr>
                <w:b/>
              </w:rPr>
              <w:t>National</w:t>
            </w:r>
          </w:p>
        </w:tc>
      </w:tr>
      <w:tr w:rsidR="00BF65E7">
        <w:trPr>
          <w:trHeight w:val="260"/>
        </w:trPr>
        <w:tc>
          <w:tcPr>
            <w:tcW w:w="2311" w:type="dxa"/>
          </w:tcPr>
          <w:p w:rsidR="00BF65E7" w:rsidRDefault="00BF65E7">
            <w:pPr>
              <w:pStyle w:val="TableParagraph"/>
              <w:spacing w:line="251" w:lineRule="exact"/>
              <w:ind w:left="942"/>
              <w:jc w:val="left"/>
              <w:rPr>
                <w:b/>
              </w:rPr>
            </w:pPr>
            <w:r>
              <w:rPr>
                <w:b/>
              </w:rPr>
              <w:t>EXS</w:t>
            </w:r>
          </w:p>
        </w:tc>
        <w:tc>
          <w:tcPr>
            <w:tcW w:w="1155" w:type="dxa"/>
          </w:tcPr>
          <w:p w:rsidR="00BF65E7" w:rsidRDefault="00BF65E7">
            <w:pPr>
              <w:pStyle w:val="TableParagraph"/>
              <w:spacing w:line="251" w:lineRule="exact"/>
              <w:ind w:left="248" w:right="248"/>
            </w:pPr>
            <w:r>
              <w:t>48%</w:t>
            </w:r>
          </w:p>
        </w:tc>
        <w:tc>
          <w:tcPr>
            <w:tcW w:w="1154" w:type="dxa"/>
          </w:tcPr>
          <w:p w:rsidR="00BF65E7" w:rsidRDefault="00BF65E7">
            <w:pPr>
              <w:pStyle w:val="TableParagraph"/>
              <w:spacing w:line="251" w:lineRule="exact"/>
              <w:ind w:left="381"/>
              <w:jc w:val="left"/>
            </w:pPr>
            <w:r>
              <w:t>76%</w:t>
            </w:r>
          </w:p>
        </w:tc>
        <w:tc>
          <w:tcPr>
            <w:tcW w:w="1155" w:type="dxa"/>
          </w:tcPr>
          <w:p w:rsidR="00BF65E7" w:rsidRDefault="00BF65E7">
            <w:pPr>
              <w:pStyle w:val="TableParagraph"/>
              <w:spacing w:line="251" w:lineRule="exact"/>
              <w:ind w:left="249" w:right="250"/>
            </w:pPr>
            <w:r>
              <w:t>48%</w:t>
            </w:r>
          </w:p>
        </w:tc>
        <w:tc>
          <w:tcPr>
            <w:tcW w:w="1157" w:type="dxa"/>
          </w:tcPr>
          <w:p w:rsidR="00BF65E7" w:rsidRDefault="00BF65E7">
            <w:pPr>
              <w:pStyle w:val="TableParagraph"/>
              <w:spacing w:line="251" w:lineRule="exact"/>
              <w:ind w:right="161"/>
            </w:pPr>
            <w:r>
              <w:t>68%</w:t>
            </w:r>
          </w:p>
        </w:tc>
        <w:tc>
          <w:tcPr>
            <w:tcW w:w="1155" w:type="dxa"/>
          </w:tcPr>
          <w:p w:rsidR="00BF65E7" w:rsidRDefault="00BF65E7">
            <w:pPr>
              <w:pStyle w:val="TableParagraph"/>
              <w:spacing w:line="251" w:lineRule="exact"/>
              <w:ind w:left="248" w:right="249"/>
            </w:pPr>
            <w:r>
              <w:t>52%</w:t>
            </w:r>
          </w:p>
        </w:tc>
        <w:tc>
          <w:tcPr>
            <w:tcW w:w="1157" w:type="dxa"/>
          </w:tcPr>
          <w:p w:rsidR="00BF65E7" w:rsidRDefault="00BF65E7">
            <w:pPr>
              <w:pStyle w:val="TableParagraph"/>
              <w:spacing w:line="251" w:lineRule="exact"/>
              <w:ind w:right="161"/>
            </w:pPr>
            <w:r>
              <w:t>75%</w:t>
            </w:r>
          </w:p>
        </w:tc>
      </w:tr>
      <w:tr w:rsidR="00BF65E7">
        <w:trPr>
          <w:trHeight w:val="260"/>
        </w:trPr>
        <w:tc>
          <w:tcPr>
            <w:tcW w:w="2311" w:type="dxa"/>
          </w:tcPr>
          <w:p w:rsidR="00BF65E7" w:rsidRDefault="00BF65E7">
            <w:pPr>
              <w:pStyle w:val="TableParagraph"/>
              <w:ind w:left="981"/>
              <w:jc w:val="left"/>
              <w:rPr>
                <w:b/>
              </w:rPr>
            </w:pPr>
            <w:r>
              <w:rPr>
                <w:b/>
              </w:rPr>
              <w:t>GDS</w:t>
            </w:r>
          </w:p>
        </w:tc>
        <w:tc>
          <w:tcPr>
            <w:tcW w:w="1155" w:type="dxa"/>
          </w:tcPr>
          <w:p w:rsidR="00BF65E7" w:rsidRDefault="00BF65E7">
            <w:pPr>
              <w:pStyle w:val="TableParagraph"/>
              <w:ind w:left="248" w:right="248"/>
            </w:pPr>
            <w:r>
              <w:t>22%</w:t>
            </w:r>
          </w:p>
        </w:tc>
        <w:tc>
          <w:tcPr>
            <w:tcW w:w="1154" w:type="dxa"/>
          </w:tcPr>
          <w:p w:rsidR="00BF65E7" w:rsidRDefault="00BF65E7">
            <w:pPr>
              <w:pStyle w:val="TableParagraph"/>
              <w:ind w:left="381"/>
              <w:jc w:val="left"/>
            </w:pPr>
            <w:r>
              <w:t>25%</w:t>
            </w:r>
          </w:p>
        </w:tc>
        <w:tc>
          <w:tcPr>
            <w:tcW w:w="1155" w:type="dxa"/>
          </w:tcPr>
          <w:p w:rsidR="00BF65E7" w:rsidRDefault="00BF65E7">
            <w:pPr>
              <w:pStyle w:val="TableParagraph"/>
              <w:ind w:left="249" w:right="250"/>
            </w:pPr>
            <w:r>
              <w:t>4%</w:t>
            </w:r>
          </w:p>
        </w:tc>
        <w:tc>
          <w:tcPr>
            <w:tcW w:w="1157" w:type="dxa"/>
          </w:tcPr>
          <w:p w:rsidR="00BF65E7" w:rsidRDefault="00BF65E7">
            <w:pPr>
              <w:pStyle w:val="TableParagraph"/>
              <w:ind w:right="161"/>
            </w:pPr>
            <w:r>
              <w:t>16%</w:t>
            </w:r>
          </w:p>
        </w:tc>
        <w:tc>
          <w:tcPr>
            <w:tcW w:w="1155" w:type="dxa"/>
          </w:tcPr>
          <w:p w:rsidR="00BF65E7" w:rsidRDefault="00BF65E7">
            <w:pPr>
              <w:pStyle w:val="TableParagraph"/>
              <w:ind w:left="248" w:right="249"/>
            </w:pPr>
            <w:r>
              <w:t>26%</w:t>
            </w:r>
          </w:p>
        </w:tc>
        <w:tc>
          <w:tcPr>
            <w:tcW w:w="1157" w:type="dxa"/>
          </w:tcPr>
          <w:p w:rsidR="00BF65E7" w:rsidRDefault="00BF65E7">
            <w:pPr>
              <w:pStyle w:val="TableParagraph"/>
              <w:ind w:right="161"/>
            </w:pPr>
            <w:r>
              <w:t>21%</w:t>
            </w:r>
          </w:p>
        </w:tc>
      </w:tr>
    </w:tbl>
    <w:p w:rsidR="00CD303B" w:rsidRDefault="00CD303B">
      <w:pPr>
        <w:pStyle w:val="BodyText"/>
        <w:spacing w:before="9"/>
        <w:rPr>
          <w:b/>
          <w:sz w:val="21"/>
        </w:rPr>
      </w:pPr>
    </w:p>
    <w:p w:rsidR="00CD303B" w:rsidRDefault="003E1AC7">
      <w:pPr>
        <w:pStyle w:val="BodyText"/>
        <w:ind w:left="220" w:right="4016"/>
      </w:pPr>
      <w:r>
        <w:t>EXS is awarded if the pupil is working at the expected standard</w:t>
      </w:r>
    </w:p>
    <w:p w:rsidR="00CD303B" w:rsidRDefault="003E1AC7">
      <w:pPr>
        <w:pStyle w:val="BodyText"/>
        <w:ind w:left="220"/>
      </w:pPr>
      <w:r>
        <w:t>GDS is awarded if the pupil is working at greater depth at the expected standard</w:t>
      </w:r>
    </w:p>
    <w:p w:rsidR="00CD303B" w:rsidRDefault="00CD303B">
      <w:pPr>
        <w:pStyle w:val="BodyText"/>
        <w:spacing w:before="10"/>
        <w:rPr>
          <w:sz w:val="21"/>
        </w:rPr>
      </w:pPr>
    </w:p>
    <w:p w:rsidR="00CD303B" w:rsidRDefault="00B924B0">
      <w:pPr>
        <w:pStyle w:val="Heading1"/>
        <w:spacing w:before="1"/>
      </w:pPr>
      <w:r>
        <w:rPr>
          <w:color w:val="006FC0"/>
        </w:rPr>
        <w:t>Key Stage 2 SATs Results 2017</w:t>
      </w:r>
    </w:p>
    <w:p w:rsidR="00CD303B" w:rsidRDefault="003E1AC7">
      <w:pPr>
        <w:pStyle w:val="BodyText"/>
        <w:spacing w:before="152"/>
        <w:ind w:left="220"/>
      </w:pPr>
      <w:r>
        <w:rPr>
          <w:color w:val="333333"/>
        </w:rPr>
        <w:t xml:space="preserve">Percentage of children who scored a </w:t>
      </w:r>
      <w:r w:rsidR="00B924B0" w:rsidRPr="00F0308C">
        <w:rPr>
          <w:color w:val="333333"/>
          <w:lang w:val="en-GB"/>
        </w:rPr>
        <w:t>standardised</w:t>
      </w:r>
      <w:r>
        <w:rPr>
          <w:color w:val="333333"/>
        </w:rPr>
        <w:t xml:space="preserve"> score of 100 or above:</w:t>
      </w:r>
    </w:p>
    <w:p w:rsidR="00CD303B" w:rsidRDefault="00CD303B">
      <w:pPr>
        <w:pStyle w:val="BodyText"/>
        <w:spacing w:before="5"/>
        <w:rPr>
          <w:sz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1155"/>
        <w:gridCol w:w="1154"/>
        <w:gridCol w:w="1155"/>
        <w:gridCol w:w="1157"/>
        <w:gridCol w:w="1155"/>
        <w:gridCol w:w="1157"/>
      </w:tblGrid>
      <w:tr w:rsidR="00CD303B">
        <w:trPr>
          <w:trHeight w:val="260"/>
        </w:trPr>
        <w:tc>
          <w:tcPr>
            <w:tcW w:w="2311" w:type="dxa"/>
          </w:tcPr>
          <w:p w:rsidR="00CD303B" w:rsidRDefault="00CD30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gridSpan w:val="2"/>
          </w:tcPr>
          <w:p w:rsidR="00CD303B" w:rsidRDefault="003E1AC7">
            <w:pPr>
              <w:pStyle w:val="TableParagraph"/>
              <w:spacing w:line="251" w:lineRule="exact"/>
              <w:ind w:left="760" w:right="760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12" w:type="dxa"/>
            <w:gridSpan w:val="2"/>
          </w:tcPr>
          <w:p w:rsidR="00CD303B" w:rsidRDefault="003E1AC7">
            <w:pPr>
              <w:pStyle w:val="TableParagraph"/>
              <w:spacing w:line="251" w:lineRule="exact"/>
              <w:ind w:left="789" w:right="788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12" w:type="dxa"/>
            <w:gridSpan w:val="2"/>
          </w:tcPr>
          <w:p w:rsidR="00CD303B" w:rsidRDefault="003E1AC7">
            <w:pPr>
              <w:pStyle w:val="TableParagraph"/>
              <w:spacing w:line="251" w:lineRule="exact"/>
              <w:ind w:left="839" w:right="839"/>
              <w:rPr>
                <w:b/>
              </w:rPr>
            </w:pPr>
            <w:r>
              <w:rPr>
                <w:b/>
              </w:rPr>
              <w:t>Maths</w:t>
            </w:r>
          </w:p>
        </w:tc>
      </w:tr>
      <w:tr w:rsidR="00CD303B">
        <w:trPr>
          <w:trHeight w:val="260"/>
        </w:trPr>
        <w:tc>
          <w:tcPr>
            <w:tcW w:w="2311" w:type="dxa"/>
          </w:tcPr>
          <w:p w:rsidR="00CD303B" w:rsidRDefault="00CD303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:rsidR="00CD303B" w:rsidRDefault="003E1AC7">
            <w:pPr>
              <w:pStyle w:val="TableParagraph"/>
              <w:ind w:left="248" w:right="248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154" w:type="dxa"/>
          </w:tcPr>
          <w:p w:rsidR="00CD303B" w:rsidRDefault="003E1AC7">
            <w:pPr>
              <w:pStyle w:val="TableParagraph"/>
              <w:ind w:left="103"/>
              <w:jc w:val="left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1155" w:type="dxa"/>
          </w:tcPr>
          <w:p w:rsidR="00CD303B" w:rsidRDefault="003E1AC7">
            <w:pPr>
              <w:pStyle w:val="TableParagraph"/>
              <w:ind w:left="249" w:right="250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157" w:type="dxa"/>
          </w:tcPr>
          <w:p w:rsidR="00CD303B" w:rsidRDefault="003E1AC7">
            <w:pPr>
              <w:pStyle w:val="TableParagraph"/>
              <w:ind w:right="161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1155" w:type="dxa"/>
          </w:tcPr>
          <w:p w:rsidR="00CD303B" w:rsidRDefault="003E1AC7">
            <w:pPr>
              <w:pStyle w:val="TableParagraph"/>
              <w:ind w:left="247" w:right="250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157" w:type="dxa"/>
          </w:tcPr>
          <w:p w:rsidR="00CD303B" w:rsidRDefault="003E1AC7">
            <w:pPr>
              <w:pStyle w:val="TableParagraph"/>
              <w:ind w:right="161"/>
              <w:rPr>
                <w:b/>
              </w:rPr>
            </w:pPr>
            <w:r>
              <w:rPr>
                <w:b/>
              </w:rPr>
              <w:t>National</w:t>
            </w:r>
          </w:p>
        </w:tc>
      </w:tr>
      <w:tr w:rsidR="00CD303B">
        <w:trPr>
          <w:trHeight w:val="260"/>
        </w:trPr>
        <w:tc>
          <w:tcPr>
            <w:tcW w:w="2311" w:type="dxa"/>
          </w:tcPr>
          <w:p w:rsidR="00CD303B" w:rsidRDefault="003E1AC7">
            <w:pPr>
              <w:pStyle w:val="TableParagraph"/>
              <w:ind w:left="981"/>
              <w:jc w:val="left"/>
              <w:rPr>
                <w:b/>
              </w:rPr>
            </w:pPr>
            <w:r>
              <w:rPr>
                <w:b/>
              </w:rPr>
              <w:t>EXS</w:t>
            </w:r>
          </w:p>
        </w:tc>
        <w:tc>
          <w:tcPr>
            <w:tcW w:w="1155" w:type="dxa"/>
          </w:tcPr>
          <w:p w:rsidR="00CD303B" w:rsidRDefault="00B924B0">
            <w:pPr>
              <w:pStyle w:val="TableParagraph"/>
              <w:ind w:left="248" w:right="248"/>
            </w:pPr>
            <w:r>
              <w:t>68</w:t>
            </w:r>
            <w:r w:rsidR="003E1AC7">
              <w:t>%</w:t>
            </w:r>
          </w:p>
        </w:tc>
        <w:tc>
          <w:tcPr>
            <w:tcW w:w="1154" w:type="dxa"/>
          </w:tcPr>
          <w:p w:rsidR="00CD303B" w:rsidRDefault="00B924B0">
            <w:pPr>
              <w:pStyle w:val="TableParagraph"/>
              <w:ind w:left="381"/>
              <w:jc w:val="left"/>
            </w:pPr>
            <w:r>
              <w:t>71</w:t>
            </w:r>
            <w:r w:rsidR="003E1AC7">
              <w:t>%</w:t>
            </w:r>
          </w:p>
        </w:tc>
        <w:tc>
          <w:tcPr>
            <w:tcW w:w="1155" w:type="dxa"/>
          </w:tcPr>
          <w:p w:rsidR="00CD303B" w:rsidRDefault="00B924B0">
            <w:pPr>
              <w:pStyle w:val="TableParagraph"/>
              <w:ind w:left="249" w:right="250"/>
            </w:pPr>
            <w:r>
              <w:t>82</w:t>
            </w:r>
            <w:r w:rsidR="003E1AC7">
              <w:t>%</w:t>
            </w:r>
          </w:p>
        </w:tc>
        <w:tc>
          <w:tcPr>
            <w:tcW w:w="1157" w:type="dxa"/>
          </w:tcPr>
          <w:p w:rsidR="00CD303B" w:rsidRDefault="00B924B0">
            <w:pPr>
              <w:pStyle w:val="TableParagraph"/>
              <w:ind w:right="161"/>
            </w:pPr>
            <w:r>
              <w:t>76</w:t>
            </w:r>
            <w:r w:rsidR="003E1AC7">
              <w:t>%</w:t>
            </w:r>
          </w:p>
        </w:tc>
        <w:tc>
          <w:tcPr>
            <w:tcW w:w="1155" w:type="dxa"/>
          </w:tcPr>
          <w:p w:rsidR="00CD303B" w:rsidRDefault="00B924B0">
            <w:pPr>
              <w:pStyle w:val="TableParagraph"/>
              <w:ind w:left="248" w:right="249"/>
            </w:pPr>
            <w:r>
              <w:t>68</w:t>
            </w:r>
            <w:r w:rsidR="003E1AC7">
              <w:t>%</w:t>
            </w:r>
          </w:p>
        </w:tc>
        <w:tc>
          <w:tcPr>
            <w:tcW w:w="1157" w:type="dxa"/>
          </w:tcPr>
          <w:p w:rsidR="00CD303B" w:rsidRDefault="00B924B0">
            <w:pPr>
              <w:pStyle w:val="TableParagraph"/>
              <w:ind w:right="161"/>
            </w:pPr>
            <w:r>
              <w:t>75</w:t>
            </w:r>
            <w:r w:rsidR="003E1AC7">
              <w:t>%</w:t>
            </w:r>
          </w:p>
        </w:tc>
      </w:tr>
      <w:tr w:rsidR="00CD303B">
        <w:trPr>
          <w:trHeight w:val="260"/>
        </w:trPr>
        <w:tc>
          <w:tcPr>
            <w:tcW w:w="2311" w:type="dxa"/>
          </w:tcPr>
          <w:p w:rsidR="00CD303B" w:rsidRDefault="003E1AC7">
            <w:pPr>
              <w:pStyle w:val="TableParagraph"/>
              <w:ind w:left="957"/>
              <w:jc w:val="left"/>
              <w:rPr>
                <w:b/>
              </w:rPr>
            </w:pPr>
            <w:r>
              <w:rPr>
                <w:b/>
              </w:rPr>
              <w:t>GDS</w:t>
            </w:r>
          </w:p>
        </w:tc>
        <w:tc>
          <w:tcPr>
            <w:tcW w:w="1155" w:type="dxa"/>
          </w:tcPr>
          <w:p w:rsidR="00CD303B" w:rsidRDefault="00B924B0">
            <w:pPr>
              <w:pStyle w:val="TableParagraph"/>
              <w:ind w:left="248" w:right="248"/>
            </w:pPr>
            <w:r>
              <w:t>16</w:t>
            </w:r>
            <w:r w:rsidR="003E1AC7">
              <w:t>%</w:t>
            </w:r>
          </w:p>
        </w:tc>
        <w:tc>
          <w:tcPr>
            <w:tcW w:w="1154" w:type="dxa"/>
          </w:tcPr>
          <w:p w:rsidR="00CD303B" w:rsidRDefault="00B924B0">
            <w:pPr>
              <w:pStyle w:val="TableParagraph"/>
              <w:ind w:left="381"/>
              <w:jc w:val="left"/>
            </w:pPr>
            <w:r>
              <w:t>25</w:t>
            </w:r>
            <w:r w:rsidR="003E1AC7">
              <w:t>%</w:t>
            </w:r>
          </w:p>
        </w:tc>
        <w:tc>
          <w:tcPr>
            <w:tcW w:w="1155" w:type="dxa"/>
          </w:tcPr>
          <w:p w:rsidR="00CD303B" w:rsidRDefault="00B924B0">
            <w:pPr>
              <w:pStyle w:val="TableParagraph"/>
              <w:ind w:left="249" w:right="249"/>
            </w:pPr>
            <w:r>
              <w:t>18</w:t>
            </w:r>
            <w:r w:rsidR="003E1AC7">
              <w:t>%</w:t>
            </w:r>
          </w:p>
        </w:tc>
        <w:tc>
          <w:tcPr>
            <w:tcW w:w="1157" w:type="dxa"/>
          </w:tcPr>
          <w:p w:rsidR="00CD303B" w:rsidRDefault="00B924B0">
            <w:pPr>
              <w:pStyle w:val="TableParagraph"/>
              <w:ind w:right="161"/>
            </w:pPr>
            <w:r>
              <w:t>18</w:t>
            </w:r>
            <w:r w:rsidR="003E1AC7">
              <w:t>%</w:t>
            </w:r>
          </w:p>
        </w:tc>
        <w:tc>
          <w:tcPr>
            <w:tcW w:w="1155" w:type="dxa"/>
          </w:tcPr>
          <w:p w:rsidR="00CD303B" w:rsidRDefault="00B924B0">
            <w:pPr>
              <w:pStyle w:val="TableParagraph"/>
              <w:ind w:left="248" w:right="249"/>
            </w:pPr>
            <w:r>
              <w:t>23</w:t>
            </w:r>
            <w:r w:rsidR="003E1AC7">
              <w:t>%</w:t>
            </w:r>
          </w:p>
        </w:tc>
        <w:tc>
          <w:tcPr>
            <w:tcW w:w="1157" w:type="dxa"/>
          </w:tcPr>
          <w:p w:rsidR="00CD303B" w:rsidRDefault="00B924B0">
            <w:pPr>
              <w:pStyle w:val="TableParagraph"/>
              <w:ind w:right="161"/>
            </w:pPr>
            <w:r>
              <w:t>23</w:t>
            </w:r>
            <w:r w:rsidR="003E1AC7">
              <w:t>%</w:t>
            </w:r>
          </w:p>
        </w:tc>
      </w:tr>
    </w:tbl>
    <w:p w:rsidR="00CD303B" w:rsidRDefault="00CD303B">
      <w:pPr>
        <w:pStyle w:val="BodyText"/>
      </w:pPr>
    </w:p>
    <w:p w:rsidR="00CD303B" w:rsidRDefault="003E1AC7">
      <w:pPr>
        <w:pStyle w:val="BodyText"/>
        <w:spacing w:before="196"/>
        <w:ind w:left="220" w:right="4016"/>
      </w:pPr>
      <w:r>
        <w:t>EXS is awarded if the pupil is working at the expected standard</w:t>
      </w:r>
    </w:p>
    <w:p w:rsidR="00CD303B" w:rsidRDefault="003E1AC7">
      <w:pPr>
        <w:pStyle w:val="BodyText"/>
        <w:ind w:left="220"/>
      </w:pPr>
      <w:r>
        <w:t>GDS is awarded if the pupil is working at greater depth at the expected standard</w:t>
      </w:r>
    </w:p>
    <w:p w:rsidR="00CD303B" w:rsidRDefault="00CD303B">
      <w:pPr>
        <w:pStyle w:val="BodyText"/>
        <w:spacing w:before="1"/>
      </w:pPr>
    </w:p>
    <w:p w:rsidR="00CD303B" w:rsidRDefault="003E1AC7" w:rsidP="00DF46A2">
      <w:pPr>
        <w:pStyle w:val="BodyText"/>
        <w:spacing w:line="242" w:lineRule="auto"/>
        <w:ind w:right="1025"/>
        <w:rPr>
          <w:color w:val="333333"/>
        </w:rPr>
      </w:pPr>
      <w:r>
        <w:rPr>
          <w:color w:val="333333"/>
        </w:rPr>
        <w:t>The percentage of children reaching the expected standard in r</w:t>
      </w:r>
      <w:r w:rsidR="00A0074C">
        <w:rPr>
          <w:color w:val="333333"/>
        </w:rPr>
        <w:t>eading, writing and maths was 64</w:t>
      </w:r>
      <w:r>
        <w:rPr>
          <w:color w:val="333333"/>
        </w:rPr>
        <w:t xml:space="preserve">%; this </w:t>
      </w:r>
      <w:r w:rsidR="00A0074C">
        <w:rPr>
          <w:color w:val="333333"/>
        </w:rPr>
        <w:t xml:space="preserve">is </w:t>
      </w:r>
      <w:r w:rsidR="00A0074C" w:rsidRPr="00A0074C">
        <w:rPr>
          <w:b/>
          <w:color w:val="333333"/>
        </w:rPr>
        <w:t>above</w:t>
      </w:r>
      <w:r w:rsidR="00A0074C">
        <w:rPr>
          <w:color w:val="333333"/>
        </w:rPr>
        <w:t xml:space="preserve"> national averages of 61</w:t>
      </w:r>
      <w:r>
        <w:rPr>
          <w:color w:val="333333"/>
        </w:rPr>
        <w:t>%.</w:t>
      </w:r>
    </w:p>
    <w:p w:rsidR="00BF65E7" w:rsidRDefault="00BF65E7" w:rsidP="00BF65E7">
      <w:pPr>
        <w:pStyle w:val="BodyText"/>
        <w:spacing w:line="242" w:lineRule="auto"/>
        <w:ind w:right="1025"/>
        <w:rPr>
          <w:color w:val="333333"/>
        </w:rPr>
      </w:pPr>
    </w:p>
    <w:p w:rsidR="00BF65E7" w:rsidRDefault="00BF65E7" w:rsidP="00BF65E7">
      <w:pPr>
        <w:pStyle w:val="BodyText"/>
        <w:spacing w:line="242" w:lineRule="auto"/>
        <w:ind w:right="1025"/>
        <w:rPr>
          <w:color w:val="333333"/>
        </w:rPr>
      </w:pPr>
      <w:r>
        <w:rPr>
          <w:color w:val="333333"/>
        </w:rPr>
        <w:t>The percentage of</w:t>
      </w:r>
      <w:r>
        <w:rPr>
          <w:color w:val="333333"/>
        </w:rPr>
        <w:t xml:space="preserve"> children reaching the higher </w:t>
      </w:r>
      <w:r>
        <w:rPr>
          <w:color w:val="333333"/>
        </w:rPr>
        <w:t>standard in r</w:t>
      </w:r>
      <w:r>
        <w:rPr>
          <w:color w:val="333333"/>
        </w:rPr>
        <w:t xml:space="preserve">eading, writing and </w:t>
      </w:r>
      <w:proofErr w:type="spellStart"/>
      <w:r>
        <w:rPr>
          <w:color w:val="333333"/>
        </w:rPr>
        <w:t>maths</w:t>
      </w:r>
      <w:proofErr w:type="spellEnd"/>
      <w:r>
        <w:rPr>
          <w:color w:val="333333"/>
        </w:rPr>
        <w:t xml:space="preserve"> was 1</w:t>
      </w:r>
      <w:r>
        <w:rPr>
          <w:color w:val="333333"/>
        </w:rPr>
        <w:t xml:space="preserve">4%; this is </w:t>
      </w:r>
      <w:r>
        <w:rPr>
          <w:color w:val="333333"/>
        </w:rPr>
        <w:t xml:space="preserve">also </w:t>
      </w:r>
      <w:r w:rsidRPr="00A0074C">
        <w:rPr>
          <w:b/>
          <w:color w:val="333333"/>
        </w:rPr>
        <w:t>above</w:t>
      </w:r>
      <w:r>
        <w:rPr>
          <w:color w:val="333333"/>
        </w:rPr>
        <w:t xml:space="preserve"> national averages of 9</w:t>
      </w:r>
      <w:r>
        <w:rPr>
          <w:color w:val="333333"/>
        </w:rPr>
        <w:t>%.</w:t>
      </w:r>
    </w:p>
    <w:p w:rsidR="00BF65E7" w:rsidRDefault="00BF65E7" w:rsidP="00DF46A2">
      <w:pPr>
        <w:pStyle w:val="BodyText"/>
        <w:spacing w:line="242" w:lineRule="auto"/>
        <w:ind w:right="1025"/>
        <w:rPr>
          <w:color w:val="333333"/>
        </w:rPr>
      </w:pPr>
    </w:p>
    <w:p w:rsidR="007F5969" w:rsidRDefault="007F5969" w:rsidP="00DF46A2">
      <w:pPr>
        <w:pStyle w:val="BodyText"/>
        <w:spacing w:line="242" w:lineRule="auto"/>
        <w:ind w:right="1025"/>
        <w:rPr>
          <w:color w:val="333333"/>
        </w:rPr>
      </w:pPr>
    </w:p>
    <w:p w:rsidR="007F5969" w:rsidRDefault="007F5969" w:rsidP="00DF46A2">
      <w:pPr>
        <w:pStyle w:val="BodyText"/>
        <w:spacing w:line="242" w:lineRule="auto"/>
        <w:ind w:right="1025"/>
        <w:rPr>
          <w:color w:val="333333"/>
        </w:rPr>
      </w:pPr>
    </w:p>
    <w:p w:rsidR="007F5969" w:rsidRDefault="007F5969" w:rsidP="00DF46A2">
      <w:pPr>
        <w:pStyle w:val="BodyText"/>
        <w:spacing w:line="242" w:lineRule="auto"/>
        <w:ind w:right="1025"/>
        <w:rPr>
          <w:color w:val="333333"/>
        </w:rPr>
      </w:pPr>
    </w:p>
    <w:p w:rsidR="007F5969" w:rsidRDefault="007F5969" w:rsidP="00DF46A2">
      <w:pPr>
        <w:pStyle w:val="BodyText"/>
        <w:spacing w:line="242" w:lineRule="auto"/>
        <w:ind w:right="1025"/>
        <w:rPr>
          <w:color w:val="333333"/>
        </w:rPr>
      </w:pPr>
    </w:p>
    <w:p w:rsidR="007F5969" w:rsidRDefault="007F5969" w:rsidP="00DF46A2">
      <w:pPr>
        <w:pStyle w:val="BodyText"/>
        <w:spacing w:line="242" w:lineRule="auto"/>
        <w:ind w:right="1025"/>
        <w:rPr>
          <w:color w:val="333333"/>
        </w:rPr>
      </w:pPr>
    </w:p>
    <w:p w:rsidR="007F5969" w:rsidRDefault="007F5969" w:rsidP="00DF46A2">
      <w:pPr>
        <w:pStyle w:val="BodyText"/>
        <w:spacing w:line="242" w:lineRule="auto"/>
        <w:ind w:right="1025"/>
        <w:rPr>
          <w:color w:val="333333"/>
        </w:rPr>
      </w:pPr>
    </w:p>
    <w:p w:rsidR="007F5969" w:rsidRPr="007F5969" w:rsidRDefault="007F5969" w:rsidP="007F5969">
      <w:pPr>
        <w:spacing w:before="41"/>
        <w:ind w:left="240"/>
        <w:outlineLvl w:val="1"/>
        <w:rPr>
          <w:b/>
          <w:bCs/>
          <w:color w:val="0070C0"/>
          <w:sz w:val="28"/>
        </w:rPr>
      </w:pPr>
      <w:r w:rsidRPr="007F5969">
        <w:rPr>
          <w:b/>
          <w:bCs/>
          <w:color w:val="0070C0"/>
          <w:sz w:val="28"/>
        </w:rPr>
        <w:t>Progress</w:t>
      </w:r>
    </w:p>
    <w:p w:rsidR="007F5969" w:rsidRPr="007F5969" w:rsidRDefault="007F5969" w:rsidP="007F5969">
      <w:pPr>
        <w:spacing w:before="8"/>
        <w:rPr>
          <w:b/>
          <w:sz w:val="1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864"/>
        <w:gridCol w:w="951"/>
        <w:gridCol w:w="1121"/>
        <w:gridCol w:w="1037"/>
        <w:gridCol w:w="1121"/>
        <w:gridCol w:w="1527"/>
        <w:gridCol w:w="895"/>
      </w:tblGrid>
      <w:tr w:rsidR="007F5969" w:rsidRPr="007F5969" w:rsidTr="00237628">
        <w:trPr>
          <w:trHeight w:val="1060"/>
        </w:trPr>
        <w:tc>
          <w:tcPr>
            <w:tcW w:w="1116" w:type="dxa"/>
          </w:tcPr>
          <w:p w:rsidR="007F5969" w:rsidRPr="007F5969" w:rsidRDefault="007F5969" w:rsidP="007F5969">
            <w:pPr>
              <w:spacing w:line="265" w:lineRule="exact"/>
              <w:ind w:left="364" w:right="365"/>
              <w:jc w:val="center"/>
              <w:rPr>
                <w:b/>
              </w:rPr>
            </w:pPr>
            <w:r w:rsidRPr="007F5969">
              <w:rPr>
                <w:b/>
                <w:color w:val="006FC0"/>
              </w:rPr>
              <w:t>KS2</w:t>
            </w:r>
          </w:p>
        </w:tc>
        <w:tc>
          <w:tcPr>
            <w:tcW w:w="2936" w:type="dxa"/>
            <w:gridSpan w:val="3"/>
          </w:tcPr>
          <w:p w:rsidR="007F5969" w:rsidRPr="007F5969" w:rsidRDefault="007F5969" w:rsidP="007F5969">
            <w:pPr>
              <w:spacing w:line="265" w:lineRule="exact"/>
              <w:ind w:left="741"/>
              <w:rPr>
                <w:b/>
              </w:rPr>
            </w:pPr>
            <w:r w:rsidRPr="007F5969">
              <w:rPr>
                <w:b/>
                <w:color w:val="006FC0"/>
              </w:rPr>
              <w:t>% met standard</w:t>
            </w:r>
          </w:p>
        </w:tc>
        <w:tc>
          <w:tcPr>
            <w:tcW w:w="2158" w:type="dxa"/>
            <w:gridSpan w:val="2"/>
          </w:tcPr>
          <w:p w:rsidR="007F5969" w:rsidRPr="007F5969" w:rsidRDefault="007F5969" w:rsidP="007F5969">
            <w:pPr>
              <w:spacing w:line="265" w:lineRule="exact"/>
              <w:ind w:left="359"/>
              <w:rPr>
                <w:b/>
              </w:rPr>
            </w:pPr>
            <w:r w:rsidRPr="007F5969">
              <w:rPr>
                <w:b/>
                <w:color w:val="006FC0"/>
              </w:rPr>
              <w:t>Av Scaled Score</w:t>
            </w:r>
          </w:p>
        </w:tc>
        <w:tc>
          <w:tcPr>
            <w:tcW w:w="1527" w:type="dxa"/>
          </w:tcPr>
          <w:p w:rsidR="007F5969" w:rsidRPr="007F5969" w:rsidRDefault="007F5969" w:rsidP="007F5969">
            <w:pPr>
              <w:spacing w:line="265" w:lineRule="exact"/>
              <w:ind w:left="253" w:right="253"/>
              <w:jc w:val="center"/>
              <w:rPr>
                <w:b/>
              </w:rPr>
            </w:pPr>
            <w:r w:rsidRPr="007F5969">
              <w:rPr>
                <w:b/>
                <w:color w:val="006FC0"/>
              </w:rPr>
              <w:t>PROGRESS</w:t>
            </w:r>
          </w:p>
        </w:tc>
        <w:tc>
          <w:tcPr>
            <w:tcW w:w="895" w:type="dxa"/>
          </w:tcPr>
          <w:p w:rsidR="007F5969" w:rsidRPr="007F5969" w:rsidRDefault="007F5969" w:rsidP="007F5969">
            <w:pPr>
              <w:spacing w:line="265" w:lineRule="exact"/>
              <w:ind w:left="80" w:right="81"/>
              <w:jc w:val="center"/>
              <w:rPr>
                <w:b/>
              </w:rPr>
            </w:pPr>
            <w:r w:rsidRPr="007F5969">
              <w:rPr>
                <w:b/>
                <w:color w:val="006FC0"/>
              </w:rPr>
              <w:t>Sig</w:t>
            </w:r>
          </w:p>
          <w:p w:rsidR="007F5969" w:rsidRPr="007F5969" w:rsidRDefault="007F5969" w:rsidP="007F5969">
            <w:pPr>
              <w:ind w:left="83" w:right="81"/>
              <w:jc w:val="center"/>
              <w:rPr>
                <w:b/>
              </w:rPr>
            </w:pPr>
            <w:r w:rsidRPr="007F5969">
              <w:rPr>
                <w:b/>
                <w:color w:val="006FC0"/>
              </w:rPr>
              <w:t>+/+/=/-</w:t>
            </w:r>
          </w:p>
          <w:p w:rsidR="007F5969" w:rsidRPr="007F5969" w:rsidRDefault="007F5969" w:rsidP="007F5969">
            <w:pPr>
              <w:ind w:left="81" w:right="81"/>
              <w:jc w:val="center"/>
              <w:rPr>
                <w:b/>
              </w:rPr>
            </w:pPr>
            <w:r w:rsidRPr="007F5969">
              <w:rPr>
                <w:b/>
                <w:color w:val="006FC0"/>
              </w:rPr>
              <w:t>/ Sig -</w:t>
            </w:r>
          </w:p>
        </w:tc>
      </w:tr>
      <w:tr w:rsidR="007F5969" w:rsidRPr="007F5969" w:rsidTr="00237628">
        <w:trPr>
          <w:trHeight w:val="520"/>
        </w:trPr>
        <w:tc>
          <w:tcPr>
            <w:tcW w:w="1116" w:type="dxa"/>
          </w:tcPr>
          <w:p w:rsidR="007F5969" w:rsidRPr="007F5969" w:rsidRDefault="007F5969" w:rsidP="007F5969">
            <w:pPr>
              <w:spacing w:line="265" w:lineRule="exact"/>
              <w:ind w:left="163"/>
              <w:rPr>
                <w:b/>
              </w:rPr>
            </w:pPr>
            <w:r w:rsidRPr="007F5969">
              <w:rPr>
                <w:b/>
                <w:color w:val="006FC0"/>
              </w:rPr>
              <w:t>SUBJECT</w:t>
            </w:r>
          </w:p>
        </w:tc>
        <w:tc>
          <w:tcPr>
            <w:tcW w:w="1815" w:type="dxa"/>
            <w:gridSpan w:val="2"/>
          </w:tcPr>
          <w:p w:rsidR="007F5969" w:rsidRPr="007F5969" w:rsidRDefault="007F5969" w:rsidP="007F5969">
            <w:pPr>
              <w:spacing w:line="265" w:lineRule="exact"/>
              <w:ind w:left="599"/>
              <w:rPr>
                <w:b/>
              </w:rPr>
            </w:pPr>
            <w:r w:rsidRPr="007F5969">
              <w:rPr>
                <w:b/>
                <w:color w:val="006FC0"/>
              </w:rPr>
              <w:t>School</w:t>
            </w:r>
          </w:p>
        </w:tc>
        <w:tc>
          <w:tcPr>
            <w:tcW w:w="1121" w:type="dxa"/>
          </w:tcPr>
          <w:p w:rsidR="007F5969" w:rsidRPr="007F5969" w:rsidRDefault="007F5969" w:rsidP="007F5969">
            <w:pPr>
              <w:spacing w:line="265" w:lineRule="exact"/>
              <w:ind w:left="143" w:right="144"/>
              <w:jc w:val="center"/>
              <w:rPr>
                <w:b/>
              </w:rPr>
            </w:pPr>
            <w:r w:rsidRPr="007F5969">
              <w:rPr>
                <w:b/>
                <w:color w:val="006FC0"/>
              </w:rPr>
              <w:t>National</w:t>
            </w:r>
          </w:p>
          <w:p w:rsidR="007F5969" w:rsidRPr="007F5969" w:rsidRDefault="007F5969" w:rsidP="007F5969">
            <w:pPr>
              <w:spacing w:line="252" w:lineRule="exact"/>
              <w:ind w:left="143" w:right="143"/>
              <w:jc w:val="center"/>
              <w:rPr>
                <w:b/>
              </w:rPr>
            </w:pPr>
            <w:r w:rsidRPr="007F5969">
              <w:rPr>
                <w:b/>
                <w:color w:val="006FC0"/>
              </w:rPr>
              <w:t>2017</w:t>
            </w:r>
          </w:p>
        </w:tc>
        <w:tc>
          <w:tcPr>
            <w:tcW w:w="1037" w:type="dxa"/>
          </w:tcPr>
          <w:p w:rsidR="007F5969" w:rsidRPr="007F5969" w:rsidRDefault="007F5969" w:rsidP="007F5969">
            <w:pPr>
              <w:spacing w:line="265" w:lineRule="exact"/>
              <w:ind w:left="190" w:right="191"/>
              <w:jc w:val="center"/>
              <w:rPr>
                <w:b/>
              </w:rPr>
            </w:pPr>
            <w:r w:rsidRPr="007F5969">
              <w:rPr>
                <w:b/>
                <w:color w:val="006FC0"/>
              </w:rPr>
              <w:t>School</w:t>
            </w:r>
          </w:p>
        </w:tc>
        <w:tc>
          <w:tcPr>
            <w:tcW w:w="1121" w:type="dxa"/>
          </w:tcPr>
          <w:p w:rsidR="007F5969" w:rsidRPr="007F5969" w:rsidRDefault="007F5969" w:rsidP="007F5969">
            <w:pPr>
              <w:spacing w:line="265" w:lineRule="exact"/>
              <w:ind w:left="143" w:right="144"/>
              <w:jc w:val="center"/>
              <w:rPr>
                <w:b/>
              </w:rPr>
            </w:pPr>
            <w:r w:rsidRPr="007F5969">
              <w:rPr>
                <w:b/>
                <w:color w:val="006FC0"/>
              </w:rPr>
              <w:t>National</w:t>
            </w:r>
          </w:p>
        </w:tc>
        <w:tc>
          <w:tcPr>
            <w:tcW w:w="1527" w:type="dxa"/>
          </w:tcPr>
          <w:p w:rsidR="007F5969" w:rsidRPr="007F5969" w:rsidRDefault="007F5969" w:rsidP="007F5969">
            <w:pPr>
              <w:rPr>
                <w:rFonts w:ascii="Times New Roman"/>
              </w:rPr>
            </w:pPr>
          </w:p>
        </w:tc>
        <w:tc>
          <w:tcPr>
            <w:tcW w:w="895" w:type="dxa"/>
          </w:tcPr>
          <w:p w:rsidR="007F5969" w:rsidRPr="007F5969" w:rsidRDefault="007F5969" w:rsidP="007F5969">
            <w:pPr>
              <w:rPr>
                <w:rFonts w:ascii="Times New Roman"/>
              </w:rPr>
            </w:pPr>
          </w:p>
        </w:tc>
      </w:tr>
      <w:tr w:rsidR="007F5969" w:rsidRPr="007F5969" w:rsidTr="00237628">
        <w:trPr>
          <w:trHeight w:val="460"/>
        </w:trPr>
        <w:tc>
          <w:tcPr>
            <w:tcW w:w="1116" w:type="dxa"/>
          </w:tcPr>
          <w:p w:rsidR="007F5969" w:rsidRPr="007F5969" w:rsidRDefault="007F5969" w:rsidP="007F5969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:rsidR="007F5969" w:rsidRPr="007F5969" w:rsidRDefault="007F5969" w:rsidP="007F5969">
            <w:pPr>
              <w:spacing w:line="265" w:lineRule="exact"/>
              <w:ind w:left="239" w:right="239"/>
              <w:jc w:val="center"/>
            </w:pPr>
            <w:r w:rsidRPr="007F5969">
              <w:t>TA</w:t>
            </w:r>
          </w:p>
        </w:tc>
        <w:tc>
          <w:tcPr>
            <w:tcW w:w="951" w:type="dxa"/>
          </w:tcPr>
          <w:p w:rsidR="007F5969" w:rsidRPr="007F5969" w:rsidRDefault="007F5969" w:rsidP="007F5969">
            <w:pPr>
              <w:spacing w:line="265" w:lineRule="exact"/>
              <w:ind w:left="258"/>
            </w:pPr>
            <w:r w:rsidRPr="007F5969">
              <w:t>TEST</w:t>
            </w:r>
          </w:p>
        </w:tc>
        <w:tc>
          <w:tcPr>
            <w:tcW w:w="1121" w:type="dxa"/>
          </w:tcPr>
          <w:p w:rsidR="007F5969" w:rsidRPr="007F5969" w:rsidRDefault="007F5969" w:rsidP="007F5969">
            <w:pPr>
              <w:spacing w:line="265" w:lineRule="exact"/>
              <w:ind w:left="143" w:right="143"/>
              <w:jc w:val="center"/>
            </w:pPr>
            <w:r w:rsidRPr="007F5969">
              <w:t>TEST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5969" w:rsidRPr="007F5969" w:rsidRDefault="007F5969" w:rsidP="007F5969">
            <w:pPr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5969" w:rsidRPr="007F5969" w:rsidRDefault="007F5969" w:rsidP="007F5969">
            <w:pPr>
              <w:rPr>
                <w:rFonts w:ascii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5969" w:rsidRPr="007F5969" w:rsidRDefault="007F5969" w:rsidP="007F5969">
            <w:pPr>
              <w:rPr>
                <w:rFonts w:ascii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5969" w:rsidRPr="007F5969" w:rsidRDefault="007F5969" w:rsidP="007F5969">
            <w:pPr>
              <w:rPr>
                <w:rFonts w:ascii="Times New Roman"/>
              </w:rPr>
            </w:pPr>
          </w:p>
        </w:tc>
      </w:tr>
      <w:tr w:rsidR="007F5969" w:rsidRPr="007F5969" w:rsidTr="00B655BE">
        <w:trPr>
          <w:trHeight w:val="480"/>
        </w:trPr>
        <w:tc>
          <w:tcPr>
            <w:tcW w:w="1116" w:type="dxa"/>
          </w:tcPr>
          <w:p w:rsidR="007F5969" w:rsidRPr="007F5969" w:rsidRDefault="007F5969" w:rsidP="007F5969">
            <w:pPr>
              <w:spacing w:line="265" w:lineRule="exact"/>
              <w:ind w:left="184"/>
              <w:rPr>
                <w:b/>
              </w:rPr>
            </w:pPr>
            <w:r w:rsidRPr="007F5969">
              <w:rPr>
                <w:b/>
                <w:color w:val="006FC0"/>
              </w:rPr>
              <w:t>Reading</w:t>
            </w:r>
          </w:p>
        </w:tc>
        <w:tc>
          <w:tcPr>
            <w:tcW w:w="864" w:type="dxa"/>
          </w:tcPr>
          <w:p w:rsidR="007F5969" w:rsidRPr="007F5969" w:rsidRDefault="00434C65" w:rsidP="007F5969">
            <w:pPr>
              <w:spacing w:line="265" w:lineRule="exact"/>
              <w:ind w:left="239" w:right="240"/>
              <w:jc w:val="center"/>
            </w:pPr>
            <w:r>
              <w:t>74</w:t>
            </w:r>
          </w:p>
        </w:tc>
        <w:tc>
          <w:tcPr>
            <w:tcW w:w="951" w:type="dxa"/>
          </w:tcPr>
          <w:p w:rsidR="007F5969" w:rsidRPr="007F5969" w:rsidRDefault="00B655BE" w:rsidP="007F5969">
            <w:pPr>
              <w:spacing w:line="265" w:lineRule="exact"/>
              <w:ind w:left="302"/>
            </w:pPr>
            <w:r>
              <w:t xml:space="preserve"> 68</w:t>
            </w:r>
          </w:p>
        </w:tc>
        <w:tc>
          <w:tcPr>
            <w:tcW w:w="1121" w:type="dxa"/>
          </w:tcPr>
          <w:p w:rsidR="007F5969" w:rsidRPr="007F5969" w:rsidRDefault="007F5969" w:rsidP="007F5969">
            <w:pPr>
              <w:spacing w:line="265" w:lineRule="exact"/>
              <w:ind w:left="143" w:right="141"/>
              <w:jc w:val="center"/>
            </w:pPr>
            <w:r w:rsidRPr="007F5969">
              <w:t>71</w:t>
            </w:r>
          </w:p>
        </w:tc>
        <w:tc>
          <w:tcPr>
            <w:tcW w:w="1037" w:type="dxa"/>
          </w:tcPr>
          <w:p w:rsidR="007F5969" w:rsidRPr="007F5969" w:rsidRDefault="00B655BE" w:rsidP="007F5969">
            <w:pPr>
              <w:spacing w:line="265" w:lineRule="exact"/>
              <w:ind w:left="190" w:right="191"/>
              <w:jc w:val="center"/>
            </w:pPr>
            <w:r>
              <w:t>104</w:t>
            </w:r>
          </w:p>
        </w:tc>
        <w:tc>
          <w:tcPr>
            <w:tcW w:w="1121" w:type="dxa"/>
          </w:tcPr>
          <w:p w:rsidR="007F5969" w:rsidRPr="007F5969" w:rsidRDefault="007F5969" w:rsidP="007F5969">
            <w:pPr>
              <w:spacing w:line="265" w:lineRule="exact"/>
              <w:ind w:left="143" w:right="142"/>
              <w:jc w:val="center"/>
            </w:pPr>
            <w:r w:rsidRPr="007F5969">
              <w:t>104</w:t>
            </w:r>
          </w:p>
        </w:tc>
        <w:tc>
          <w:tcPr>
            <w:tcW w:w="1527" w:type="dxa"/>
          </w:tcPr>
          <w:p w:rsidR="007F5969" w:rsidRPr="007F5969" w:rsidRDefault="00B655BE" w:rsidP="007F5969">
            <w:pPr>
              <w:spacing w:line="265" w:lineRule="exact"/>
              <w:ind w:left="253" w:right="252"/>
              <w:jc w:val="center"/>
            </w:pPr>
            <w:r>
              <w:t>-5.3</w:t>
            </w:r>
          </w:p>
        </w:tc>
        <w:tc>
          <w:tcPr>
            <w:tcW w:w="895" w:type="dxa"/>
            <w:shd w:val="clear" w:color="auto" w:fill="FF0000"/>
          </w:tcPr>
          <w:p w:rsidR="007F5969" w:rsidRPr="007F5969" w:rsidRDefault="00B655BE" w:rsidP="007F5969">
            <w:pPr>
              <w:spacing w:line="265" w:lineRule="exact"/>
              <w:ind w:left="81" w:right="81"/>
              <w:jc w:val="center"/>
            </w:pPr>
            <w:r>
              <w:t>Sig.-</w:t>
            </w:r>
          </w:p>
        </w:tc>
      </w:tr>
      <w:tr w:rsidR="007F5969" w:rsidRPr="007F5969" w:rsidTr="00237628">
        <w:trPr>
          <w:trHeight w:val="480"/>
        </w:trPr>
        <w:tc>
          <w:tcPr>
            <w:tcW w:w="1116" w:type="dxa"/>
          </w:tcPr>
          <w:p w:rsidR="007F5969" w:rsidRPr="007F5969" w:rsidRDefault="007F5969" w:rsidP="007F5969">
            <w:pPr>
              <w:spacing w:line="265" w:lineRule="exact"/>
              <w:ind w:left="211"/>
              <w:rPr>
                <w:b/>
              </w:rPr>
            </w:pPr>
            <w:r w:rsidRPr="007F5969">
              <w:rPr>
                <w:b/>
                <w:color w:val="006FC0"/>
              </w:rPr>
              <w:t>Writing</w:t>
            </w:r>
          </w:p>
        </w:tc>
        <w:tc>
          <w:tcPr>
            <w:tcW w:w="864" w:type="dxa"/>
          </w:tcPr>
          <w:p w:rsidR="007F5969" w:rsidRPr="007F5969" w:rsidRDefault="00434C65" w:rsidP="007F5969">
            <w:pPr>
              <w:spacing w:line="265" w:lineRule="exact"/>
              <w:ind w:left="239" w:right="239"/>
              <w:jc w:val="center"/>
            </w:pPr>
            <w:r>
              <w:t>82</w:t>
            </w:r>
          </w:p>
        </w:tc>
        <w:tc>
          <w:tcPr>
            <w:tcW w:w="951" w:type="dxa"/>
          </w:tcPr>
          <w:p w:rsidR="007F5969" w:rsidRPr="007F5969" w:rsidRDefault="00B655BE" w:rsidP="007F5969">
            <w:pPr>
              <w:spacing w:line="265" w:lineRule="exact"/>
              <w:ind w:left="357"/>
            </w:pPr>
            <w:r>
              <w:t>82</w:t>
            </w:r>
          </w:p>
        </w:tc>
        <w:tc>
          <w:tcPr>
            <w:tcW w:w="1121" w:type="dxa"/>
          </w:tcPr>
          <w:p w:rsidR="007F5969" w:rsidRPr="007F5969" w:rsidRDefault="007F5969" w:rsidP="007F5969">
            <w:pPr>
              <w:spacing w:line="265" w:lineRule="exact"/>
              <w:ind w:left="143" w:right="141"/>
              <w:jc w:val="center"/>
            </w:pPr>
            <w:r w:rsidRPr="007F5969">
              <w:t>76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5969" w:rsidRPr="007F5969" w:rsidRDefault="007F5969" w:rsidP="007F5969">
            <w:pPr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5969" w:rsidRPr="007F5969" w:rsidRDefault="007F5969" w:rsidP="007F5969">
            <w:pPr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7F5969" w:rsidRPr="007F5969" w:rsidRDefault="00B655BE" w:rsidP="007F5969">
            <w:pPr>
              <w:spacing w:line="265" w:lineRule="exact"/>
              <w:ind w:left="253" w:right="252"/>
              <w:jc w:val="center"/>
            </w:pPr>
            <w:r>
              <w:t>-2.1</w:t>
            </w:r>
          </w:p>
        </w:tc>
        <w:tc>
          <w:tcPr>
            <w:tcW w:w="895" w:type="dxa"/>
          </w:tcPr>
          <w:p w:rsidR="007F5969" w:rsidRPr="007F5969" w:rsidRDefault="00B655BE" w:rsidP="00B655BE">
            <w:pPr>
              <w:jc w:val="center"/>
              <w:rPr>
                <w:rFonts w:ascii="Times New Roman"/>
                <w:b/>
              </w:rPr>
            </w:pPr>
            <w:r w:rsidRPr="00B655BE">
              <w:rPr>
                <w:rFonts w:ascii="Times New Roman"/>
                <w:b/>
              </w:rPr>
              <w:t>-</w:t>
            </w:r>
          </w:p>
        </w:tc>
      </w:tr>
      <w:tr w:rsidR="007F5969" w:rsidRPr="007F5969" w:rsidTr="00B655BE">
        <w:trPr>
          <w:trHeight w:val="460"/>
        </w:trPr>
        <w:tc>
          <w:tcPr>
            <w:tcW w:w="1116" w:type="dxa"/>
          </w:tcPr>
          <w:p w:rsidR="007F5969" w:rsidRPr="007F5969" w:rsidRDefault="007F5969" w:rsidP="007F5969">
            <w:pPr>
              <w:spacing w:line="265" w:lineRule="exact"/>
              <w:ind w:left="261"/>
              <w:rPr>
                <w:b/>
              </w:rPr>
            </w:pPr>
            <w:r w:rsidRPr="007F5969">
              <w:rPr>
                <w:b/>
                <w:color w:val="006FC0"/>
              </w:rPr>
              <w:t>Maths</w:t>
            </w:r>
          </w:p>
        </w:tc>
        <w:tc>
          <w:tcPr>
            <w:tcW w:w="864" w:type="dxa"/>
          </w:tcPr>
          <w:p w:rsidR="007F5969" w:rsidRPr="007F5969" w:rsidRDefault="00434C65" w:rsidP="007F5969">
            <w:pPr>
              <w:spacing w:line="265" w:lineRule="exact"/>
              <w:ind w:left="239" w:right="240"/>
              <w:jc w:val="center"/>
            </w:pPr>
            <w:r>
              <w:t>68</w:t>
            </w:r>
          </w:p>
        </w:tc>
        <w:tc>
          <w:tcPr>
            <w:tcW w:w="951" w:type="dxa"/>
          </w:tcPr>
          <w:p w:rsidR="007F5969" w:rsidRPr="007F5969" w:rsidRDefault="00B655BE" w:rsidP="007F5969">
            <w:pPr>
              <w:spacing w:line="265" w:lineRule="exact"/>
              <w:ind w:left="357"/>
            </w:pPr>
            <w:r>
              <w:t>68</w:t>
            </w:r>
          </w:p>
        </w:tc>
        <w:tc>
          <w:tcPr>
            <w:tcW w:w="1121" w:type="dxa"/>
          </w:tcPr>
          <w:p w:rsidR="007F5969" w:rsidRPr="007F5969" w:rsidRDefault="007F5969" w:rsidP="007F5969">
            <w:pPr>
              <w:spacing w:line="265" w:lineRule="exact"/>
              <w:ind w:left="143" w:right="141"/>
              <w:jc w:val="center"/>
            </w:pPr>
            <w:r w:rsidRPr="007F5969">
              <w:t>75</w:t>
            </w:r>
          </w:p>
        </w:tc>
        <w:tc>
          <w:tcPr>
            <w:tcW w:w="1037" w:type="dxa"/>
          </w:tcPr>
          <w:p w:rsidR="007F5969" w:rsidRPr="007F5969" w:rsidRDefault="00B655BE" w:rsidP="007F5969">
            <w:pPr>
              <w:spacing w:line="265" w:lineRule="exact"/>
              <w:ind w:left="190" w:right="191"/>
              <w:jc w:val="center"/>
            </w:pPr>
            <w:r>
              <w:t>101</w:t>
            </w:r>
          </w:p>
        </w:tc>
        <w:tc>
          <w:tcPr>
            <w:tcW w:w="1121" w:type="dxa"/>
          </w:tcPr>
          <w:p w:rsidR="007F5969" w:rsidRPr="007F5969" w:rsidRDefault="007F5969" w:rsidP="007F5969">
            <w:pPr>
              <w:spacing w:line="265" w:lineRule="exact"/>
              <w:ind w:left="143" w:right="142"/>
              <w:jc w:val="center"/>
            </w:pPr>
            <w:r w:rsidRPr="007F5969">
              <w:t>104</w:t>
            </w:r>
          </w:p>
        </w:tc>
        <w:tc>
          <w:tcPr>
            <w:tcW w:w="1527" w:type="dxa"/>
          </w:tcPr>
          <w:p w:rsidR="007F5969" w:rsidRPr="007F5969" w:rsidRDefault="00B655BE" w:rsidP="007F5969">
            <w:pPr>
              <w:spacing w:line="265" w:lineRule="exact"/>
              <w:ind w:left="253" w:right="252"/>
              <w:jc w:val="center"/>
            </w:pPr>
            <w:r>
              <w:t>-</w:t>
            </w:r>
            <w:r w:rsidR="007F5969" w:rsidRPr="007F5969">
              <w:t>4.1</w:t>
            </w:r>
          </w:p>
        </w:tc>
        <w:tc>
          <w:tcPr>
            <w:tcW w:w="895" w:type="dxa"/>
            <w:shd w:val="clear" w:color="auto" w:fill="FF0000"/>
          </w:tcPr>
          <w:p w:rsidR="007F5969" w:rsidRPr="007F5969" w:rsidRDefault="00B655BE" w:rsidP="007F5969">
            <w:pPr>
              <w:spacing w:line="265" w:lineRule="exact"/>
              <w:ind w:left="81" w:right="81"/>
              <w:jc w:val="center"/>
            </w:pPr>
            <w:r>
              <w:t>Sig.-</w:t>
            </w:r>
          </w:p>
        </w:tc>
      </w:tr>
      <w:tr w:rsidR="007F5969" w:rsidRPr="007F5969" w:rsidTr="00B655BE">
        <w:trPr>
          <w:trHeight w:val="480"/>
        </w:trPr>
        <w:tc>
          <w:tcPr>
            <w:tcW w:w="1116" w:type="dxa"/>
          </w:tcPr>
          <w:p w:rsidR="007F5969" w:rsidRPr="007F5969" w:rsidRDefault="007F5969" w:rsidP="007F5969">
            <w:pPr>
              <w:spacing w:line="268" w:lineRule="exact"/>
              <w:ind w:left="364" w:right="363"/>
              <w:jc w:val="center"/>
              <w:rPr>
                <w:b/>
              </w:rPr>
            </w:pPr>
            <w:r w:rsidRPr="007F5969">
              <w:rPr>
                <w:b/>
                <w:color w:val="006FC0"/>
              </w:rPr>
              <w:t>All</w:t>
            </w:r>
          </w:p>
        </w:tc>
        <w:tc>
          <w:tcPr>
            <w:tcW w:w="864" w:type="dxa"/>
          </w:tcPr>
          <w:p w:rsidR="007F5969" w:rsidRPr="007F5969" w:rsidRDefault="00434C65" w:rsidP="007F5969">
            <w:pPr>
              <w:spacing w:line="268" w:lineRule="exact"/>
              <w:ind w:left="239" w:right="239"/>
              <w:jc w:val="center"/>
            </w:pPr>
            <w:r>
              <w:t>68</w:t>
            </w:r>
          </w:p>
        </w:tc>
        <w:tc>
          <w:tcPr>
            <w:tcW w:w="951" w:type="dxa"/>
          </w:tcPr>
          <w:p w:rsidR="007F5969" w:rsidRPr="007F5969" w:rsidRDefault="00B655BE" w:rsidP="007F5969">
            <w:pPr>
              <w:spacing w:line="268" w:lineRule="exact"/>
              <w:ind w:left="357"/>
            </w:pPr>
            <w:r>
              <w:t>64</w:t>
            </w:r>
          </w:p>
        </w:tc>
        <w:tc>
          <w:tcPr>
            <w:tcW w:w="1121" w:type="dxa"/>
          </w:tcPr>
          <w:p w:rsidR="007F5969" w:rsidRPr="007F5969" w:rsidRDefault="007F5969" w:rsidP="007F5969">
            <w:pPr>
              <w:spacing w:line="268" w:lineRule="exact"/>
              <w:ind w:left="143" w:right="141"/>
              <w:jc w:val="center"/>
            </w:pPr>
            <w:r w:rsidRPr="007F5969">
              <w:t>61</w:t>
            </w:r>
          </w:p>
        </w:tc>
        <w:tc>
          <w:tcPr>
            <w:tcW w:w="1037" w:type="dxa"/>
          </w:tcPr>
          <w:p w:rsidR="007F5969" w:rsidRPr="007F5969" w:rsidRDefault="007F5969" w:rsidP="007F5969">
            <w:pPr>
              <w:rPr>
                <w:rFonts w:ascii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5969" w:rsidRPr="007F5969" w:rsidRDefault="007F5969" w:rsidP="007F5969">
            <w:pPr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7F5969" w:rsidRPr="007F5969" w:rsidRDefault="007F5969" w:rsidP="007F5969">
            <w:pPr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7F5969" w:rsidRPr="007F5969" w:rsidRDefault="007F5969" w:rsidP="007F5969">
            <w:pPr>
              <w:spacing w:line="268" w:lineRule="exact"/>
              <w:ind w:left="81" w:right="81"/>
              <w:jc w:val="center"/>
              <w:rPr>
                <w:highlight w:val="yellow"/>
              </w:rPr>
            </w:pPr>
          </w:p>
        </w:tc>
      </w:tr>
      <w:tr w:rsidR="007F5969" w:rsidRPr="007F5969" w:rsidTr="00237628">
        <w:trPr>
          <w:trHeight w:val="480"/>
        </w:trPr>
        <w:tc>
          <w:tcPr>
            <w:tcW w:w="1116" w:type="dxa"/>
          </w:tcPr>
          <w:p w:rsidR="007F5969" w:rsidRPr="007F5969" w:rsidRDefault="007F5969" w:rsidP="007F5969">
            <w:pPr>
              <w:spacing w:line="268" w:lineRule="exact"/>
              <w:ind w:left="304"/>
              <w:rPr>
                <w:b/>
              </w:rPr>
            </w:pPr>
            <w:r w:rsidRPr="007F5969">
              <w:rPr>
                <w:b/>
                <w:color w:val="006FC0"/>
              </w:rPr>
              <w:t>SPAG</w:t>
            </w:r>
          </w:p>
        </w:tc>
        <w:tc>
          <w:tcPr>
            <w:tcW w:w="864" w:type="dxa"/>
          </w:tcPr>
          <w:p w:rsidR="007F5969" w:rsidRPr="007F5969" w:rsidRDefault="00434C65" w:rsidP="007F5969">
            <w:pPr>
              <w:spacing w:line="268" w:lineRule="exact"/>
              <w:ind w:left="239" w:right="240"/>
              <w:jc w:val="center"/>
            </w:pPr>
            <w:r>
              <w:t>82</w:t>
            </w:r>
            <w:bookmarkStart w:id="0" w:name="_GoBack"/>
            <w:bookmarkEnd w:id="0"/>
          </w:p>
        </w:tc>
        <w:tc>
          <w:tcPr>
            <w:tcW w:w="951" w:type="dxa"/>
          </w:tcPr>
          <w:p w:rsidR="007F5969" w:rsidRPr="007F5969" w:rsidRDefault="00B655BE" w:rsidP="007F5969">
            <w:pPr>
              <w:spacing w:line="268" w:lineRule="exact"/>
              <w:ind w:left="302"/>
            </w:pPr>
            <w:r>
              <w:t xml:space="preserve"> 82</w:t>
            </w:r>
          </w:p>
        </w:tc>
        <w:tc>
          <w:tcPr>
            <w:tcW w:w="1121" w:type="dxa"/>
          </w:tcPr>
          <w:p w:rsidR="007F5969" w:rsidRPr="007F5969" w:rsidRDefault="007F5969" w:rsidP="007F5969">
            <w:pPr>
              <w:spacing w:line="268" w:lineRule="exact"/>
              <w:ind w:left="143" w:right="141"/>
              <w:jc w:val="center"/>
            </w:pPr>
            <w:r w:rsidRPr="007F5969">
              <w:t>77</w:t>
            </w:r>
          </w:p>
        </w:tc>
        <w:tc>
          <w:tcPr>
            <w:tcW w:w="1037" w:type="dxa"/>
          </w:tcPr>
          <w:p w:rsidR="007F5969" w:rsidRPr="007F5969" w:rsidRDefault="00B655BE" w:rsidP="007F5969">
            <w:pPr>
              <w:spacing w:line="268" w:lineRule="exact"/>
              <w:ind w:left="190" w:right="191"/>
              <w:jc w:val="center"/>
            </w:pPr>
            <w:r>
              <w:t>104</w:t>
            </w:r>
          </w:p>
        </w:tc>
        <w:tc>
          <w:tcPr>
            <w:tcW w:w="1121" w:type="dxa"/>
          </w:tcPr>
          <w:p w:rsidR="007F5969" w:rsidRPr="007F5969" w:rsidRDefault="007F5969" w:rsidP="007F5969">
            <w:pPr>
              <w:spacing w:line="268" w:lineRule="exact"/>
              <w:ind w:left="143" w:right="142"/>
              <w:jc w:val="center"/>
            </w:pPr>
            <w:r w:rsidRPr="007F5969">
              <w:t>106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5969" w:rsidRPr="007F5969" w:rsidRDefault="007F5969" w:rsidP="007F5969">
            <w:pPr>
              <w:rPr>
                <w:rFonts w:ascii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5969" w:rsidRPr="007F5969" w:rsidRDefault="007F5969" w:rsidP="007F5969">
            <w:pPr>
              <w:rPr>
                <w:rFonts w:ascii="Times New Roman"/>
              </w:rPr>
            </w:pPr>
          </w:p>
        </w:tc>
      </w:tr>
    </w:tbl>
    <w:p w:rsidR="007F5969" w:rsidRPr="007F5969" w:rsidRDefault="007F5969" w:rsidP="007F5969">
      <w:pPr>
        <w:rPr>
          <w:b/>
        </w:rPr>
      </w:pPr>
    </w:p>
    <w:p w:rsidR="00BF65E7" w:rsidRDefault="00BF65E7" w:rsidP="00DF46A2">
      <w:pPr>
        <w:pStyle w:val="BodyText"/>
        <w:spacing w:line="242" w:lineRule="auto"/>
        <w:ind w:right="1025"/>
      </w:pPr>
    </w:p>
    <w:sectPr w:rsidR="00BF65E7" w:rsidSect="00DF46A2">
      <w:type w:val="continuous"/>
      <w:pgSz w:w="11910" w:h="16840"/>
      <w:pgMar w:top="580" w:right="711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3B"/>
    <w:rsid w:val="00057F66"/>
    <w:rsid w:val="00247475"/>
    <w:rsid w:val="003E1AC7"/>
    <w:rsid w:val="00434C65"/>
    <w:rsid w:val="00445CCC"/>
    <w:rsid w:val="007F5969"/>
    <w:rsid w:val="009632F8"/>
    <w:rsid w:val="009E70B7"/>
    <w:rsid w:val="00A0074C"/>
    <w:rsid w:val="00A8631C"/>
    <w:rsid w:val="00B655BE"/>
    <w:rsid w:val="00B82423"/>
    <w:rsid w:val="00B924B0"/>
    <w:rsid w:val="00BF65E7"/>
    <w:rsid w:val="00C97140"/>
    <w:rsid w:val="00CD303B"/>
    <w:rsid w:val="00DF46A2"/>
    <w:rsid w:val="00F0308C"/>
    <w:rsid w:val="00F4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6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40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6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40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6A87BC4C</Template>
  <TotalTime>44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G.Griffith</dc:creator>
  <cp:lastModifiedBy>ESelby</cp:lastModifiedBy>
  <cp:revision>14</cp:revision>
  <cp:lastPrinted>2017-10-04T12:47:00Z</cp:lastPrinted>
  <dcterms:created xsi:type="dcterms:W3CDTF">2017-10-04T12:47:00Z</dcterms:created>
  <dcterms:modified xsi:type="dcterms:W3CDTF">2017-10-04T13:30:00Z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2017-06-12T00:00:00Z</vt:filetime>
  </property>
</Properties>
</file>